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04DF" w14:textId="77777777" w:rsidR="002A233F" w:rsidRDefault="002A233F" w:rsidP="005E5A75">
      <w:pPr>
        <w:pStyle w:val="Heading1"/>
        <w:spacing w:before="57"/>
      </w:pPr>
      <w:r>
        <w:rPr>
          <w:rFonts w:ascii="Times New Roman"/>
          <w:noProof/>
          <w:sz w:val="20"/>
          <w:lang w:bidi="ar-SA"/>
        </w:rPr>
        <w:drawing>
          <wp:inline distT="0" distB="0" distL="0" distR="0" wp14:anchorId="13DA0565" wp14:editId="13DA0566">
            <wp:extent cx="2303028" cy="6621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03028" cy="662177"/>
                    </a:xfrm>
                    <a:prstGeom prst="rect">
                      <a:avLst/>
                    </a:prstGeom>
                  </pic:spPr>
                </pic:pic>
              </a:graphicData>
            </a:graphic>
          </wp:inline>
        </w:drawing>
      </w:r>
    </w:p>
    <w:p w14:paraId="13DA04E0" w14:textId="77777777" w:rsidR="002A233F" w:rsidRDefault="002A233F" w:rsidP="005E5A75">
      <w:pPr>
        <w:pStyle w:val="Heading1"/>
        <w:spacing w:before="57"/>
      </w:pPr>
    </w:p>
    <w:p w14:paraId="13DA04E1" w14:textId="77777777" w:rsidR="005E5A75" w:rsidRPr="00993824" w:rsidRDefault="005E5A75" w:rsidP="005E5A75">
      <w:pPr>
        <w:pStyle w:val="Heading1"/>
        <w:spacing w:before="57"/>
      </w:pPr>
      <w:r w:rsidRPr="00993824">
        <w:t>RETURN OF TITLE IV AID POLICY</w:t>
      </w:r>
    </w:p>
    <w:p w14:paraId="13DA04E2" w14:textId="77777777" w:rsidR="005E5A75" w:rsidRPr="00993824" w:rsidRDefault="005E5A75" w:rsidP="005E5A75">
      <w:pPr>
        <w:pStyle w:val="BodyText"/>
        <w:spacing w:before="8"/>
        <w:rPr>
          <w:b/>
          <w:sz w:val="19"/>
        </w:rPr>
      </w:pPr>
    </w:p>
    <w:p w14:paraId="13DA04E3" w14:textId="77777777" w:rsidR="005E5A75" w:rsidRPr="00993824" w:rsidRDefault="005E5A75" w:rsidP="005E5A75">
      <w:pPr>
        <w:ind w:left="120"/>
        <w:rPr>
          <w:b/>
        </w:rPr>
      </w:pPr>
      <w:r w:rsidRPr="00993824">
        <w:rPr>
          <w:b/>
        </w:rPr>
        <w:t>Introduction</w:t>
      </w:r>
    </w:p>
    <w:p w14:paraId="13DA04E4" w14:textId="77777777" w:rsidR="005E5A75" w:rsidRPr="00993824" w:rsidRDefault="005E5A75" w:rsidP="005E5A75">
      <w:pPr>
        <w:pStyle w:val="BodyText"/>
        <w:spacing w:before="6"/>
        <w:rPr>
          <w:b/>
          <w:sz w:val="19"/>
        </w:rPr>
      </w:pPr>
    </w:p>
    <w:p w14:paraId="13DA04E5" w14:textId="77777777" w:rsidR="00B14639" w:rsidRDefault="004C3FCA" w:rsidP="005E5A75">
      <w:pPr>
        <w:pStyle w:val="BodyText"/>
        <w:spacing w:line="276" w:lineRule="auto"/>
        <w:ind w:left="120" w:right="158"/>
      </w:pPr>
      <w:r>
        <w:t xml:space="preserve">This policy outlines </w:t>
      </w:r>
      <w:r w:rsidR="005E5A75" w:rsidRPr="00993824">
        <w:t>Liverpool John Moores University</w:t>
      </w:r>
      <w:r>
        <w:t xml:space="preserve">’s compliance with legislation governing the issue of US Federal Loans to students, </w:t>
      </w:r>
      <w:r w:rsidR="002A0BCE">
        <w:t xml:space="preserve">detailing the process for returning Title IV funds when a student stops attending prior to the </w:t>
      </w:r>
      <w:r w:rsidR="00B14639">
        <w:t xml:space="preserve">planned </w:t>
      </w:r>
      <w:r w:rsidR="00163E4A">
        <w:t>end date of their program</w:t>
      </w:r>
      <w:r w:rsidR="002A0BCE">
        <w:t>. As per the Higher Education Act 2008, Title IV f</w:t>
      </w:r>
      <w:r w:rsidR="00B14639">
        <w:t xml:space="preserve">unds are awarded to students based on full attendance for </w:t>
      </w:r>
      <w:r w:rsidR="002A0BCE">
        <w:t>the whole period to which assistance has been granted.</w:t>
      </w:r>
    </w:p>
    <w:p w14:paraId="13DA04E6" w14:textId="77777777" w:rsidR="00B14639" w:rsidRDefault="00B14639" w:rsidP="005E5A75">
      <w:pPr>
        <w:pStyle w:val="BodyText"/>
        <w:spacing w:line="276" w:lineRule="auto"/>
        <w:ind w:left="120" w:right="158"/>
      </w:pPr>
    </w:p>
    <w:p w14:paraId="13DA04E7" w14:textId="77777777" w:rsidR="004C3FCA" w:rsidRDefault="005E5A75" w:rsidP="005E5A75">
      <w:pPr>
        <w:pStyle w:val="BodyText"/>
        <w:spacing w:line="276" w:lineRule="auto"/>
        <w:ind w:left="120" w:right="158"/>
      </w:pPr>
      <w:r w:rsidRPr="00993824">
        <w:t>In the case of Federal Loan students, a calculation must be made as to whether and how much must be returned</w:t>
      </w:r>
      <w:r w:rsidR="00163E4A">
        <w:t xml:space="preserve"> to the US Federal aid program</w:t>
      </w:r>
      <w:r w:rsidRPr="00993824">
        <w:t>.</w:t>
      </w:r>
    </w:p>
    <w:p w14:paraId="13DA04E8" w14:textId="77777777" w:rsidR="004C3FCA" w:rsidRPr="00993824" w:rsidRDefault="004C3FCA" w:rsidP="005E5A75">
      <w:pPr>
        <w:pStyle w:val="BodyText"/>
        <w:spacing w:line="276" w:lineRule="auto"/>
        <w:ind w:left="120" w:right="158"/>
      </w:pPr>
    </w:p>
    <w:p w14:paraId="13DA04E9" w14:textId="77777777" w:rsidR="005E5A75" w:rsidRDefault="005E5A75" w:rsidP="005E5A75">
      <w:pPr>
        <w:pStyle w:val="BodyText"/>
        <w:spacing w:before="1" w:line="276" w:lineRule="auto"/>
        <w:ind w:left="120" w:right="117"/>
      </w:pPr>
      <w:r w:rsidRPr="00993824">
        <w:t>This calculation will be made in accordance with the Return of Title IV Aid (R2T4) requirements of section 484B of the Higher Education Act of 1965, which proscribes how Title IV funds must be treated when a Title IV student aid recipient withdraws from an institution during a payment period or period of enrolment.</w:t>
      </w:r>
      <w:r>
        <w:t xml:space="preserve"> R2T4 will be c</w:t>
      </w:r>
      <w:r w:rsidR="00FE6524">
        <w:t>alculated and NSLDS notified</w:t>
      </w:r>
      <w:r>
        <w:t xml:space="preserve"> within 30 days of being informed of the student withdrawal.</w:t>
      </w:r>
      <w:r w:rsidR="00813ED5">
        <w:t xml:space="preserve"> The payment period is the semester for which the loan was certified.</w:t>
      </w:r>
      <w:r w:rsidR="001E6CA3">
        <w:t xml:space="preserve"> (See e</w:t>
      </w:r>
      <w:r w:rsidR="00DF2595">
        <w:t>xamples of</w:t>
      </w:r>
      <w:r w:rsidR="001E6CA3">
        <w:t xml:space="preserve"> </w:t>
      </w:r>
      <w:r w:rsidR="00DF2595">
        <w:t>payment periods</w:t>
      </w:r>
      <w:r w:rsidR="001E6CA3">
        <w:t xml:space="preserve"> and R2T4 Calculation</w:t>
      </w:r>
      <w:r w:rsidR="00DF2595">
        <w:t>)</w:t>
      </w:r>
    </w:p>
    <w:p w14:paraId="13DA04EA" w14:textId="77777777" w:rsidR="005E5A75" w:rsidRDefault="005E5A75" w:rsidP="005E5A75">
      <w:pPr>
        <w:pStyle w:val="BodyText"/>
        <w:spacing w:before="1" w:line="276" w:lineRule="auto"/>
        <w:ind w:left="120" w:right="117"/>
      </w:pPr>
    </w:p>
    <w:p w14:paraId="13DA04EB" w14:textId="77777777" w:rsidR="00AB19C0" w:rsidRDefault="00AB35AE" w:rsidP="00AB19C0">
      <w:pPr>
        <w:pStyle w:val="BodyText"/>
        <w:spacing w:before="1" w:line="276" w:lineRule="auto"/>
        <w:ind w:left="120" w:right="117"/>
        <w:rPr>
          <w:b/>
        </w:rPr>
      </w:pPr>
      <w:r w:rsidRPr="00AB35AE">
        <w:rPr>
          <w:b/>
        </w:rPr>
        <w:t>Date of Withdrawal</w:t>
      </w:r>
      <w:r w:rsidR="00AB19C0">
        <w:rPr>
          <w:b/>
        </w:rPr>
        <w:t xml:space="preserve"> (Official and Unofficial)</w:t>
      </w:r>
    </w:p>
    <w:p w14:paraId="13DA04EC" w14:textId="77777777" w:rsidR="00AB19C0" w:rsidRDefault="00AB19C0" w:rsidP="00AB19C0">
      <w:pPr>
        <w:pStyle w:val="BodyText"/>
        <w:spacing w:before="1" w:line="276" w:lineRule="auto"/>
        <w:ind w:left="120" w:right="117"/>
        <w:rPr>
          <w:b/>
        </w:rPr>
      </w:pPr>
    </w:p>
    <w:p w14:paraId="13DA04ED" w14:textId="77777777" w:rsidR="00FE6524" w:rsidRDefault="00AB35AE" w:rsidP="00AB19C0">
      <w:pPr>
        <w:pStyle w:val="BodyText"/>
        <w:spacing w:before="1" w:line="276" w:lineRule="auto"/>
        <w:ind w:left="120" w:right="117"/>
      </w:pPr>
      <w:r>
        <w:t>In a case where a student no</w:t>
      </w:r>
      <w:r w:rsidR="00AB19C0">
        <w:t xml:space="preserve">tifies the </w:t>
      </w:r>
      <w:r>
        <w:t>University th</w:t>
      </w:r>
      <w:r w:rsidR="00AB19C0">
        <w:t xml:space="preserve">at they intend to withdraw </w:t>
      </w:r>
      <w:r w:rsidR="00AB19C0" w:rsidRPr="00AB19C0">
        <w:rPr>
          <w:b/>
        </w:rPr>
        <w:t>(Official)</w:t>
      </w:r>
      <w:r w:rsidR="00AB19C0">
        <w:t xml:space="preserve"> then</w:t>
      </w:r>
      <w:r>
        <w:t xml:space="preserve"> the student will need to complete LJMU’s official withdrawal process </w:t>
      </w:r>
      <w:r w:rsidR="00AB19C0">
        <w:t>by submitting</w:t>
      </w:r>
      <w:r>
        <w:t xml:space="preserve"> the official w</w:t>
      </w:r>
      <w:r w:rsidR="00D713E7">
        <w:t>ithdrawal form (located within My S</w:t>
      </w:r>
      <w:r>
        <w:t>ervices on the student</w:t>
      </w:r>
      <w:r w:rsidR="00D713E7">
        <w:t>’</w:t>
      </w:r>
      <w:r>
        <w:t>s homepage)</w:t>
      </w:r>
      <w:r w:rsidR="00AB19C0">
        <w:t>.</w:t>
      </w:r>
      <w:r w:rsidR="00694BC1">
        <w:t xml:space="preserve"> </w:t>
      </w:r>
      <w:r w:rsidR="00AB19C0">
        <w:t>This date will be used for R2T4 calcul</w:t>
      </w:r>
      <w:r w:rsidR="00694BC1">
        <w:t>ation, s</w:t>
      </w:r>
      <w:r>
        <w:t>tudents in receipt of US Loans are required to notify Registry Services within 5 working days. The date of withdrawa</w:t>
      </w:r>
      <w:r w:rsidR="00163E4A">
        <w:t>l is determined by the Program</w:t>
      </w:r>
      <w:r>
        <w:t xml:space="preserve"> Leader / Faculty Administration and will be the last date that the student attended </w:t>
      </w:r>
      <w:r w:rsidR="00694BC1">
        <w:t xml:space="preserve">his or her studies </w:t>
      </w:r>
      <w:r>
        <w:t>(See LJMU</w:t>
      </w:r>
      <w:r w:rsidR="00694BC1">
        <w:t xml:space="preserve">’s Withdrawal </w:t>
      </w:r>
      <w:r w:rsidR="00FE6524">
        <w:t>Policy)</w:t>
      </w:r>
      <w:r w:rsidR="00D146C1">
        <w:t>. If the student rec</w:t>
      </w:r>
      <w:r w:rsidR="006B5E0B">
        <w:t>eived all ‘F’</w:t>
      </w:r>
      <w:r w:rsidR="00D146C1">
        <w:t xml:space="preserve"> grades for the semester / payment period, Registry Services wi</w:t>
      </w:r>
      <w:r w:rsidR="00163E4A">
        <w:t>ll contact the Faculty program</w:t>
      </w:r>
      <w:r w:rsidR="00D146C1">
        <w:t xml:space="preserve"> team to determine</w:t>
      </w:r>
      <w:r w:rsidR="006B5E0B">
        <w:t xml:space="preserve"> if theses grades were earned or these grades where attributed due to a lack of attendance on the course. If it was established that the failed grades was due to non-attendance then Registry Services will determine the last date of attendance</w:t>
      </w:r>
      <w:r w:rsidR="00D713E7">
        <w:t>,</w:t>
      </w:r>
      <w:r w:rsidR="006B5E0B">
        <w:t xml:space="preserve"> using this date for the R2T4 ca</w:t>
      </w:r>
      <w:r w:rsidR="00D713E7">
        <w:t>lculation;</w:t>
      </w:r>
      <w:r w:rsidR="006B5E0B">
        <w:t xml:space="preserve"> all unearned funds will be returned to the lender.</w:t>
      </w:r>
    </w:p>
    <w:p w14:paraId="13DA04EE" w14:textId="77777777" w:rsidR="006B5E0B" w:rsidRDefault="006B5E0B" w:rsidP="00AB19C0">
      <w:pPr>
        <w:pStyle w:val="BodyText"/>
        <w:spacing w:before="1" w:line="276" w:lineRule="auto"/>
        <w:ind w:left="120" w:right="117"/>
      </w:pPr>
    </w:p>
    <w:p w14:paraId="13DA04EF" w14:textId="77777777" w:rsidR="00FE6524" w:rsidRDefault="00694BC1" w:rsidP="00AB19C0">
      <w:pPr>
        <w:pStyle w:val="BodyText"/>
        <w:spacing w:before="1" w:line="276" w:lineRule="auto"/>
        <w:ind w:left="120" w:right="117"/>
      </w:pPr>
      <w:r>
        <w:t>In the case where a student has not informed the University of their Intention to withdraw (</w:t>
      </w:r>
      <w:r w:rsidRPr="00694BC1">
        <w:rPr>
          <w:b/>
        </w:rPr>
        <w:t>Unofficial)</w:t>
      </w:r>
      <w:r>
        <w:t xml:space="preserve"> and ceases attending, International students at Liverpool John Moores University are subject to internal attendance monitoring as part of the UK Visas and Immigration compliance</w:t>
      </w:r>
      <w:r w:rsidR="00D713E7">
        <w:t xml:space="preserve"> policy</w:t>
      </w:r>
      <w:r w:rsidR="005A17AE">
        <w:t>. Registry Services will ascertain the last date the student was logged as atte</w:t>
      </w:r>
      <w:r w:rsidR="00163E4A">
        <w:t>nding from the Faculty program</w:t>
      </w:r>
      <w:r w:rsidR="005A17AE">
        <w:t xml:space="preserve"> team</w:t>
      </w:r>
      <w:r>
        <w:t xml:space="preserve"> and this date will be used for R2T4 calculation.</w:t>
      </w:r>
    </w:p>
    <w:p w14:paraId="13DA04F0" w14:textId="77777777" w:rsidR="005E3836" w:rsidRPr="005E3836" w:rsidRDefault="005E3836" w:rsidP="005E3836">
      <w:pPr>
        <w:pStyle w:val="Default"/>
        <w:rPr>
          <w:rFonts w:asciiTheme="minorHAnsi" w:hAnsiTheme="minorHAnsi" w:cstheme="minorHAnsi"/>
          <w:sz w:val="22"/>
          <w:szCs w:val="22"/>
        </w:rPr>
      </w:pPr>
    </w:p>
    <w:p w14:paraId="13DA04F1" w14:textId="77777777" w:rsidR="005E3836" w:rsidRDefault="005E3836" w:rsidP="005E3836">
      <w:pPr>
        <w:pStyle w:val="Default"/>
        <w:ind w:left="120"/>
        <w:rPr>
          <w:rFonts w:asciiTheme="minorHAnsi" w:hAnsiTheme="minorHAnsi" w:cstheme="minorHAnsi"/>
          <w:sz w:val="22"/>
          <w:szCs w:val="22"/>
        </w:rPr>
      </w:pPr>
      <w:r w:rsidRPr="005E3836">
        <w:rPr>
          <w:rFonts w:asciiTheme="minorHAnsi" w:hAnsiTheme="minorHAnsi" w:cstheme="minorHAnsi"/>
          <w:sz w:val="22"/>
          <w:szCs w:val="22"/>
        </w:rPr>
        <w:t>The amount of assistance earned is determined on a pro rata basis. The payment period is the semester for which the loan was certified and th</w:t>
      </w:r>
      <w:r w:rsidR="00D713E7">
        <w:rPr>
          <w:rFonts w:asciiTheme="minorHAnsi" w:hAnsiTheme="minorHAnsi" w:cstheme="minorHAnsi"/>
          <w:sz w:val="22"/>
          <w:szCs w:val="22"/>
        </w:rPr>
        <w:t>e per</w:t>
      </w:r>
      <w:r w:rsidRPr="005E3836">
        <w:rPr>
          <w:rFonts w:asciiTheme="minorHAnsi" w:hAnsiTheme="minorHAnsi" w:cstheme="minorHAnsi"/>
          <w:sz w:val="22"/>
          <w:szCs w:val="22"/>
        </w:rPr>
        <w:t>cent</w:t>
      </w:r>
      <w:r w:rsidR="00D713E7">
        <w:rPr>
          <w:rFonts w:asciiTheme="minorHAnsi" w:hAnsiTheme="minorHAnsi" w:cstheme="minorHAnsi"/>
          <w:sz w:val="22"/>
          <w:szCs w:val="22"/>
        </w:rPr>
        <w:t>age</w:t>
      </w:r>
      <w:r w:rsidRPr="005E3836">
        <w:rPr>
          <w:rFonts w:asciiTheme="minorHAnsi" w:hAnsiTheme="minorHAnsi" w:cstheme="minorHAnsi"/>
          <w:sz w:val="22"/>
          <w:szCs w:val="22"/>
        </w:rPr>
        <w:t xml:space="preserve"> of attendance is calculated by dividing the number of day</w:t>
      </w:r>
      <w:r w:rsidR="00D713E7">
        <w:rPr>
          <w:rFonts w:asciiTheme="minorHAnsi" w:hAnsiTheme="minorHAnsi" w:cstheme="minorHAnsi"/>
          <w:sz w:val="22"/>
          <w:szCs w:val="22"/>
        </w:rPr>
        <w:t>s</w:t>
      </w:r>
      <w:r w:rsidRPr="005E3836">
        <w:rPr>
          <w:rFonts w:asciiTheme="minorHAnsi" w:hAnsiTheme="minorHAnsi" w:cstheme="minorHAnsi"/>
          <w:sz w:val="22"/>
          <w:szCs w:val="22"/>
        </w:rPr>
        <w:t xml:space="preserve"> attended by the total number of days in the payment period. For example, if the student completes 30% of the payment period or period of enrolment, the student has earned 30% of the assistance they were originally scheduled to receive. Once the student has completed more than </w:t>
      </w:r>
      <w:r w:rsidRPr="005E3836">
        <w:rPr>
          <w:rFonts w:asciiTheme="minorHAnsi" w:hAnsiTheme="minorHAnsi" w:cstheme="minorHAnsi"/>
          <w:sz w:val="22"/>
          <w:szCs w:val="22"/>
        </w:rPr>
        <w:lastRenderedPageBreak/>
        <w:t xml:space="preserve">60% of the payment period or period of enrolment, all the assistance that the student was scheduled to receive for that period is considered to have been earned If the student did not receive all of the funds that were earned, he or she may be due a post-withdrawal disbursement. If the post-withdrawal disbursement includes loan funds, the student may choose to decline the loan funds so that additional debt is not incurred. The Finance Department will use the R2T4 worksheets as provided by the US Department of Education to determine how much of the loan may be retained and how much must be returned. </w:t>
      </w:r>
    </w:p>
    <w:p w14:paraId="13DA04F2" w14:textId="77777777" w:rsidR="00D36906" w:rsidRDefault="00D36906" w:rsidP="005E3836">
      <w:pPr>
        <w:pStyle w:val="Default"/>
        <w:ind w:left="120"/>
        <w:rPr>
          <w:rFonts w:asciiTheme="minorHAnsi" w:hAnsiTheme="minorHAnsi" w:cstheme="minorHAnsi"/>
          <w:sz w:val="22"/>
          <w:szCs w:val="22"/>
        </w:rPr>
      </w:pPr>
    </w:p>
    <w:p w14:paraId="13DA04F3" w14:textId="77777777" w:rsidR="00D36906" w:rsidRPr="00D36906" w:rsidRDefault="00D36906" w:rsidP="005E3836">
      <w:pPr>
        <w:pStyle w:val="Default"/>
        <w:ind w:left="120"/>
        <w:rPr>
          <w:rFonts w:asciiTheme="minorHAnsi" w:hAnsiTheme="minorHAnsi" w:cstheme="minorHAnsi"/>
          <w:b/>
          <w:sz w:val="22"/>
          <w:szCs w:val="22"/>
        </w:rPr>
      </w:pPr>
      <w:r w:rsidRPr="00D36906">
        <w:rPr>
          <w:rFonts w:asciiTheme="minorHAnsi" w:hAnsiTheme="minorHAnsi" w:cstheme="minorHAnsi"/>
          <w:b/>
          <w:sz w:val="22"/>
          <w:szCs w:val="22"/>
        </w:rPr>
        <w:t>Post Withdrawal Disbursements</w:t>
      </w:r>
    </w:p>
    <w:p w14:paraId="13DA04F4" w14:textId="77777777" w:rsidR="00D36906" w:rsidRDefault="00D36906" w:rsidP="00D36906">
      <w:pPr>
        <w:pStyle w:val="NormalWeb"/>
        <w:ind w:left="120"/>
      </w:pPr>
      <w:r>
        <w:rPr>
          <w:rFonts w:asciiTheme="minorHAnsi" w:hAnsiTheme="minorHAnsi" w:cstheme="minorHAnsi"/>
          <w:bCs/>
          <w:sz w:val="22"/>
          <w:szCs w:val="22"/>
          <w:lang w:val="en"/>
        </w:rPr>
        <w:t xml:space="preserve">Once </w:t>
      </w:r>
      <w:r w:rsidRPr="00063A4D">
        <w:rPr>
          <w:rFonts w:asciiTheme="minorHAnsi" w:hAnsiTheme="minorHAnsi" w:cstheme="minorHAnsi"/>
          <w:bCs/>
          <w:sz w:val="22"/>
          <w:szCs w:val="22"/>
          <w:lang w:val="en"/>
        </w:rPr>
        <w:t xml:space="preserve">the R2T4 calculation has been performed </w:t>
      </w:r>
      <w:r w:rsidR="00D713E7">
        <w:rPr>
          <w:rFonts w:asciiTheme="minorHAnsi" w:hAnsiTheme="minorHAnsi" w:cstheme="minorHAnsi"/>
          <w:bCs/>
          <w:sz w:val="22"/>
          <w:szCs w:val="22"/>
          <w:lang w:val="en"/>
        </w:rPr>
        <w:t>Registry Services will use</w:t>
      </w:r>
      <w:r>
        <w:rPr>
          <w:rFonts w:asciiTheme="minorHAnsi" w:hAnsiTheme="minorHAnsi" w:cstheme="minorHAnsi"/>
          <w:bCs/>
          <w:sz w:val="22"/>
          <w:szCs w:val="22"/>
          <w:lang w:val="en"/>
        </w:rPr>
        <w:t xml:space="preserve"> the R2T4 worksheets provid</w:t>
      </w:r>
      <w:r w:rsidR="003C16D2">
        <w:rPr>
          <w:rFonts w:asciiTheme="minorHAnsi" w:hAnsiTheme="minorHAnsi" w:cstheme="minorHAnsi"/>
          <w:bCs/>
          <w:sz w:val="22"/>
          <w:szCs w:val="22"/>
          <w:lang w:val="en"/>
        </w:rPr>
        <w:t xml:space="preserve">ed by the US Federal department; if it is </w:t>
      </w:r>
      <w:r>
        <w:rPr>
          <w:rFonts w:asciiTheme="minorHAnsi" w:hAnsiTheme="minorHAnsi" w:cstheme="minorHAnsi"/>
          <w:bCs/>
          <w:sz w:val="22"/>
          <w:szCs w:val="22"/>
          <w:lang w:val="en"/>
        </w:rPr>
        <w:t>established that the student is entitled to earned loan funds, the student may decline this loan to stop incurring additional debt</w:t>
      </w:r>
      <w:r w:rsidR="003C16D2">
        <w:rPr>
          <w:rFonts w:asciiTheme="minorHAnsi" w:hAnsiTheme="minorHAnsi" w:cstheme="minorHAnsi"/>
          <w:bCs/>
          <w:sz w:val="22"/>
          <w:szCs w:val="22"/>
          <w:lang w:val="en"/>
        </w:rPr>
        <w:t>,</w:t>
      </w:r>
      <w:r>
        <w:rPr>
          <w:rFonts w:asciiTheme="minorHAnsi" w:hAnsiTheme="minorHAnsi" w:cstheme="minorHAnsi"/>
          <w:bCs/>
          <w:sz w:val="22"/>
          <w:szCs w:val="22"/>
          <w:lang w:val="en"/>
        </w:rPr>
        <w:t xml:space="preserve"> or the </w:t>
      </w:r>
      <w:r w:rsidRPr="00063A4D">
        <w:rPr>
          <w:rFonts w:asciiTheme="minorHAnsi" w:hAnsiTheme="minorHAnsi" w:cstheme="minorHAnsi"/>
          <w:sz w:val="22"/>
          <w:szCs w:val="22"/>
          <w:lang w:val="en"/>
        </w:rPr>
        <w:t xml:space="preserve">University may automatically use all or a portion of a post-withdrawal disbursement </w:t>
      </w:r>
      <w:r>
        <w:rPr>
          <w:rFonts w:asciiTheme="minorHAnsi" w:hAnsiTheme="minorHAnsi" w:cstheme="minorHAnsi"/>
          <w:sz w:val="22"/>
          <w:szCs w:val="22"/>
          <w:lang w:val="en"/>
        </w:rPr>
        <w:t xml:space="preserve">for tuition, </w:t>
      </w:r>
      <w:r w:rsidRPr="00063A4D">
        <w:rPr>
          <w:rFonts w:asciiTheme="minorHAnsi" w:hAnsiTheme="minorHAnsi" w:cstheme="minorHAnsi"/>
          <w:sz w:val="22"/>
          <w:szCs w:val="22"/>
          <w:lang w:val="en"/>
        </w:rPr>
        <w:t>(as contracted with the University). For all other University charges, the University needs the student’s permission to use the post-withdrawal disbursement. If the student does not give permission the student will not be offered the funds. </w:t>
      </w:r>
    </w:p>
    <w:p w14:paraId="13DA04F5" w14:textId="77777777" w:rsidR="005E3836" w:rsidRDefault="005E3836" w:rsidP="005E3836">
      <w:pPr>
        <w:pStyle w:val="BodyText"/>
        <w:spacing w:before="1" w:line="276" w:lineRule="auto"/>
        <w:ind w:left="120" w:right="117"/>
        <w:rPr>
          <w:rFonts w:asciiTheme="minorHAnsi" w:hAnsiTheme="minorHAnsi" w:cstheme="minorHAnsi"/>
        </w:rPr>
      </w:pPr>
      <w:r w:rsidRPr="005E3836">
        <w:rPr>
          <w:rFonts w:asciiTheme="minorHAnsi" w:hAnsiTheme="minorHAnsi" w:cstheme="minorHAnsi"/>
        </w:rPr>
        <w:t xml:space="preserve">There is some Title IV funds that students were scheduled to receive that cannot be </w:t>
      </w:r>
      <w:r w:rsidRPr="005E3836">
        <w:rPr>
          <w:rFonts w:asciiTheme="minorHAnsi" w:hAnsiTheme="minorHAnsi" w:cstheme="minorHAnsi"/>
          <w:iCs/>
        </w:rPr>
        <w:t>earned</w:t>
      </w:r>
      <w:r w:rsidRPr="005E3836">
        <w:rPr>
          <w:rFonts w:asciiTheme="minorHAnsi" w:hAnsiTheme="minorHAnsi" w:cstheme="minorHAnsi"/>
          <w:i/>
          <w:iCs/>
        </w:rPr>
        <w:t xml:space="preserve"> </w:t>
      </w:r>
      <w:r w:rsidRPr="005E3836">
        <w:rPr>
          <w:rFonts w:asciiTheme="minorHAnsi" w:hAnsiTheme="minorHAnsi" w:cstheme="minorHAnsi"/>
        </w:rPr>
        <w:t>once a student withdraws because of other eligibility requirements. For example, in certain circumstances, if a first-time, first-year undergraduate student has not completed the first 30 days of the program before withdrawal, the</w:t>
      </w:r>
      <w:r w:rsidR="0048321F">
        <w:rPr>
          <w:rFonts w:asciiTheme="minorHAnsi" w:hAnsiTheme="minorHAnsi" w:cstheme="minorHAnsi"/>
        </w:rPr>
        <w:t xml:space="preserve"> student will not earn any Federal </w:t>
      </w:r>
      <w:r w:rsidRPr="005E3836">
        <w:rPr>
          <w:rFonts w:asciiTheme="minorHAnsi" w:hAnsiTheme="minorHAnsi" w:cstheme="minorHAnsi"/>
        </w:rPr>
        <w:t>loan funds that he or she would have received had the student remained enrolled past the 30th day. If the student receives</w:t>
      </w:r>
      <w:r w:rsidR="0048321F">
        <w:rPr>
          <w:rFonts w:asciiTheme="minorHAnsi" w:hAnsiTheme="minorHAnsi" w:cstheme="minorHAnsi"/>
        </w:rPr>
        <w:t xml:space="preserve"> (or the University receives on behalf of the student</w:t>
      </w:r>
      <w:r w:rsidR="00507F6B">
        <w:rPr>
          <w:rFonts w:asciiTheme="minorHAnsi" w:hAnsiTheme="minorHAnsi" w:cstheme="minorHAnsi"/>
        </w:rPr>
        <w:t>) excess Title IV program funds that must be returned, the University must return a portion of the excess equal to the lesser of:</w:t>
      </w:r>
    </w:p>
    <w:p w14:paraId="13DA04F6" w14:textId="77777777" w:rsidR="00507F6B" w:rsidRDefault="00507F6B" w:rsidP="005E3836">
      <w:pPr>
        <w:pStyle w:val="BodyText"/>
        <w:spacing w:before="1" w:line="276" w:lineRule="auto"/>
        <w:ind w:left="120" w:right="117"/>
        <w:rPr>
          <w:rFonts w:asciiTheme="minorHAnsi" w:hAnsiTheme="minorHAnsi" w:cstheme="minorHAnsi"/>
        </w:rPr>
      </w:pPr>
    </w:p>
    <w:p w14:paraId="13DA04F7" w14:textId="77777777" w:rsidR="00507F6B" w:rsidRPr="00507F6B" w:rsidRDefault="00507F6B" w:rsidP="00507F6B">
      <w:pPr>
        <w:pStyle w:val="BodyText"/>
        <w:numPr>
          <w:ilvl w:val="0"/>
          <w:numId w:val="3"/>
        </w:numPr>
        <w:spacing w:before="1" w:line="276" w:lineRule="auto"/>
        <w:ind w:right="117"/>
        <w:rPr>
          <w:rFonts w:asciiTheme="minorHAnsi" w:hAnsiTheme="minorHAnsi" w:cstheme="minorHAnsi"/>
          <w:b/>
        </w:rPr>
      </w:pPr>
      <w:r>
        <w:rPr>
          <w:rFonts w:asciiTheme="minorHAnsi" w:hAnsiTheme="minorHAnsi" w:cstheme="minorHAnsi"/>
        </w:rPr>
        <w:t>The institutional charges multiplied by the unea</w:t>
      </w:r>
      <w:r w:rsidR="00D713E7">
        <w:rPr>
          <w:rFonts w:asciiTheme="minorHAnsi" w:hAnsiTheme="minorHAnsi" w:cstheme="minorHAnsi"/>
        </w:rPr>
        <w:t>rned percentage of the funds</w:t>
      </w:r>
    </w:p>
    <w:p w14:paraId="13DA04F8" w14:textId="77777777" w:rsidR="00507F6B" w:rsidRPr="00D36906" w:rsidRDefault="00507F6B" w:rsidP="00507F6B">
      <w:pPr>
        <w:pStyle w:val="BodyText"/>
        <w:numPr>
          <w:ilvl w:val="0"/>
          <w:numId w:val="3"/>
        </w:numPr>
        <w:spacing w:before="1" w:line="276" w:lineRule="auto"/>
        <w:ind w:right="117"/>
        <w:rPr>
          <w:rFonts w:asciiTheme="minorHAnsi" w:hAnsiTheme="minorHAnsi" w:cstheme="minorHAnsi"/>
          <w:b/>
        </w:rPr>
      </w:pPr>
      <w:r>
        <w:rPr>
          <w:rFonts w:asciiTheme="minorHAnsi" w:hAnsiTheme="minorHAnsi" w:cstheme="minorHAnsi"/>
        </w:rPr>
        <w:t>The entire amount of excess funds</w:t>
      </w:r>
    </w:p>
    <w:p w14:paraId="13DA04F9" w14:textId="77777777" w:rsidR="00D36906" w:rsidRDefault="00D36906" w:rsidP="005E5A75">
      <w:pPr>
        <w:pStyle w:val="BodyText"/>
        <w:spacing w:before="1" w:line="276" w:lineRule="auto"/>
        <w:ind w:left="120" w:right="117"/>
        <w:rPr>
          <w:b/>
        </w:rPr>
      </w:pPr>
    </w:p>
    <w:p w14:paraId="13DA04FA" w14:textId="77777777" w:rsidR="006564A0" w:rsidRPr="006564A0" w:rsidRDefault="006564A0" w:rsidP="005E5A75">
      <w:pPr>
        <w:pStyle w:val="BodyText"/>
        <w:spacing w:before="1" w:line="276" w:lineRule="auto"/>
        <w:ind w:left="120" w:right="117"/>
        <w:rPr>
          <w:b/>
        </w:rPr>
      </w:pPr>
      <w:r w:rsidRPr="006564A0">
        <w:rPr>
          <w:b/>
        </w:rPr>
        <w:t>Return of Title IV funds / R2T4 Calculation</w:t>
      </w:r>
      <w:r w:rsidR="005202F8">
        <w:rPr>
          <w:b/>
        </w:rPr>
        <w:t xml:space="preserve"> (including LOA Approved and Unapproved)</w:t>
      </w:r>
    </w:p>
    <w:p w14:paraId="13DA04FB" w14:textId="77777777" w:rsidR="005E5A75" w:rsidRPr="00993824" w:rsidRDefault="005E5A75" w:rsidP="005E5A75">
      <w:pPr>
        <w:pStyle w:val="BodyText"/>
        <w:spacing w:before="6"/>
        <w:rPr>
          <w:b/>
          <w:sz w:val="19"/>
        </w:rPr>
      </w:pPr>
    </w:p>
    <w:p w14:paraId="13DA04FC" w14:textId="77777777" w:rsidR="00AB35AE" w:rsidRDefault="005E5A75" w:rsidP="005E5A75">
      <w:pPr>
        <w:pStyle w:val="BodyText"/>
        <w:spacing w:line="276" w:lineRule="auto"/>
        <w:ind w:left="120" w:right="106"/>
      </w:pPr>
      <w:r w:rsidRPr="00993824">
        <w:t>When a student withdraws during a payment period then t</w:t>
      </w:r>
      <w:r w:rsidR="00163E4A">
        <w:t xml:space="preserve">he amount of Title IV program </w:t>
      </w:r>
      <w:r w:rsidRPr="00993824">
        <w:t>assistance that has been earned up to that point is determined by the proportion of time in attendance.</w:t>
      </w:r>
      <w:r w:rsidR="00E279C8">
        <w:t xml:space="preserve"> </w:t>
      </w:r>
    </w:p>
    <w:p w14:paraId="13DA04FD" w14:textId="77777777" w:rsidR="00507F6B" w:rsidRDefault="00507F6B" w:rsidP="005E5A75">
      <w:pPr>
        <w:pStyle w:val="BodyText"/>
        <w:spacing w:line="276" w:lineRule="auto"/>
        <w:ind w:left="120" w:right="106"/>
      </w:pPr>
    </w:p>
    <w:p w14:paraId="13DA04FE" w14:textId="77777777" w:rsidR="005E5A75" w:rsidRDefault="00E279C8" w:rsidP="005E5A75">
      <w:pPr>
        <w:pStyle w:val="BodyText"/>
        <w:spacing w:line="276" w:lineRule="auto"/>
        <w:ind w:left="120" w:right="106"/>
      </w:pPr>
      <w:r>
        <w:t>Listed below outlines the US Department of Education’s calculation of the amount of unearned funds.</w:t>
      </w:r>
      <w:r w:rsidR="00D713E7">
        <w:t xml:space="preserve"> LJMU’s Registry Services is</w:t>
      </w:r>
      <w:r w:rsidR="00CF4297">
        <w:t xml:space="preserve"> respon</w:t>
      </w:r>
      <w:r w:rsidR="00D713E7">
        <w:t xml:space="preserve">sible for calculating R2T4 and Financial Services are </w:t>
      </w:r>
      <w:r w:rsidR="00276C43">
        <w:t>responsible for</w:t>
      </w:r>
      <w:r w:rsidR="00CF4297">
        <w:t xml:space="preserve"> the transfer of funds</w:t>
      </w:r>
      <w:r w:rsidR="00276C43">
        <w:t xml:space="preserve"> back to the US Department of Education.</w:t>
      </w:r>
      <w:r w:rsidR="000206CB">
        <w:t xml:space="preserve"> </w:t>
      </w:r>
    </w:p>
    <w:p w14:paraId="13DA04FF" w14:textId="77777777" w:rsidR="00E279C8" w:rsidRDefault="00E279C8" w:rsidP="005E5A75">
      <w:pPr>
        <w:pStyle w:val="BodyText"/>
        <w:spacing w:line="276" w:lineRule="auto"/>
        <w:ind w:left="120" w:right="106"/>
      </w:pPr>
    </w:p>
    <w:tbl>
      <w:tblPr>
        <w:tblStyle w:val="TableGrid"/>
        <w:tblW w:w="0" w:type="auto"/>
        <w:tblInd w:w="120" w:type="dxa"/>
        <w:tblLook w:val="04A0" w:firstRow="1" w:lastRow="0" w:firstColumn="1" w:lastColumn="0" w:noHBand="0" w:noVBand="1"/>
      </w:tblPr>
      <w:tblGrid>
        <w:gridCol w:w="8675"/>
      </w:tblGrid>
      <w:tr w:rsidR="000D5315" w14:paraId="13DA0503" w14:textId="77777777" w:rsidTr="00DF2595">
        <w:trPr>
          <w:trHeight w:val="1001"/>
        </w:trPr>
        <w:tc>
          <w:tcPr>
            <w:tcW w:w="8675" w:type="dxa"/>
          </w:tcPr>
          <w:p w14:paraId="13DA0500" w14:textId="77777777" w:rsidR="000D5315" w:rsidRDefault="00DF2595" w:rsidP="005E5A75">
            <w:pPr>
              <w:pStyle w:val="BodyText"/>
              <w:spacing w:line="276" w:lineRule="auto"/>
              <w:ind w:right="106"/>
            </w:pPr>
            <w:r>
              <w:t xml:space="preserve">Duration (calculated </w:t>
            </w:r>
            <w:r w:rsidR="000D5315">
              <w:t>days</w:t>
            </w:r>
            <w:r>
              <w:t>)</w:t>
            </w:r>
            <w:r w:rsidR="00163E4A">
              <w:t xml:space="preserve"> enrolled on the program</w:t>
            </w:r>
            <w:r w:rsidR="000D5315">
              <w:t xml:space="preserve">           </w:t>
            </w:r>
          </w:p>
          <w:p w14:paraId="13DA0501" w14:textId="77777777" w:rsidR="000D5315" w:rsidRDefault="000D5315" w:rsidP="005E5A75">
            <w:pPr>
              <w:pStyle w:val="BodyText"/>
              <w:spacing w:line="276" w:lineRule="auto"/>
              <w:ind w:right="106"/>
            </w:pPr>
            <w:r>
              <w:t>------------------------------------</w:t>
            </w:r>
            <w:r w:rsidR="00DF2595">
              <w:t xml:space="preserve">------------------------------------- </w:t>
            </w:r>
            <w:r>
              <w:t xml:space="preserve"> </w:t>
            </w:r>
            <w:r w:rsidR="00DF2595">
              <w:t xml:space="preserve"> </w:t>
            </w:r>
            <w:r>
              <w:t xml:space="preserve">= </w:t>
            </w:r>
            <w:r w:rsidR="00DF2595">
              <w:t xml:space="preserve">  </w:t>
            </w:r>
            <w:r>
              <w:t>Percentage Funds earned</w:t>
            </w:r>
          </w:p>
          <w:p w14:paraId="13DA0502" w14:textId="77777777" w:rsidR="000D5315" w:rsidRDefault="00DF2595" w:rsidP="005E5A75">
            <w:pPr>
              <w:pStyle w:val="BodyText"/>
              <w:spacing w:line="276" w:lineRule="auto"/>
              <w:ind w:right="106"/>
            </w:pPr>
            <w:r>
              <w:t>P</w:t>
            </w:r>
            <w:r w:rsidR="000D5315">
              <w:t>ayment period</w:t>
            </w:r>
            <w:r>
              <w:t xml:space="preserve"> (number of days within period)</w:t>
            </w:r>
          </w:p>
        </w:tc>
      </w:tr>
    </w:tbl>
    <w:p w14:paraId="13DA0504" w14:textId="77777777" w:rsidR="00255971" w:rsidRDefault="00255971" w:rsidP="005E5A75">
      <w:pPr>
        <w:pStyle w:val="BodyText"/>
        <w:spacing w:line="276" w:lineRule="auto"/>
        <w:ind w:left="120" w:right="106"/>
      </w:pPr>
    </w:p>
    <w:p w14:paraId="13DA0505" w14:textId="77777777" w:rsidR="005E5A75" w:rsidRPr="00993824" w:rsidRDefault="005E5A75" w:rsidP="005E5A75">
      <w:pPr>
        <w:pStyle w:val="BodyText"/>
        <w:spacing w:line="276" w:lineRule="auto"/>
        <w:ind w:left="120" w:right="106"/>
      </w:pPr>
      <w:r w:rsidRPr="00993824">
        <w:t>The school must do this within 30 days of knowing about the withdrawal</w:t>
      </w:r>
    </w:p>
    <w:p w14:paraId="13DA0506" w14:textId="77777777" w:rsidR="005E5A75" w:rsidRPr="00993824" w:rsidRDefault="005E5A75" w:rsidP="005E5A75">
      <w:pPr>
        <w:pStyle w:val="BodyText"/>
        <w:spacing w:line="276" w:lineRule="auto"/>
        <w:ind w:left="120" w:right="106"/>
      </w:pPr>
      <w:r w:rsidRPr="00993824">
        <w:t>The money is returned in the following order</w:t>
      </w:r>
    </w:p>
    <w:p w14:paraId="13DA0507" w14:textId="77777777" w:rsidR="005E5A75" w:rsidRPr="00993824" w:rsidRDefault="005E5A75" w:rsidP="005E5A75">
      <w:pPr>
        <w:pStyle w:val="ListParagraph"/>
        <w:numPr>
          <w:ilvl w:val="0"/>
          <w:numId w:val="1"/>
        </w:numPr>
        <w:tabs>
          <w:tab w:val="left" w:pos="841"/>
        </w:tabs>
        <w:spacing w:before="195"/>
      </w:pPr>
      <w:r w:rsidRPr="00993824">
        <w:t>Federal Stafford</w:t>
      </w:r>
      <w:r w:rsidRPr="00993824">
        <w:rPr>
          <w:spacing w:val="-2"/>
        </w:rPr>
        <w:t xml:space="preserve"> </w:t>
      </w:r>
      <w:r w:rsidRPr="00993824">
        <w:t>Unsubsidized</w:t>
      </w:r>
    </w:p>
    <w:p w14:paraId="13DA0508" w14:textId="77777777" w:rsidR="005E5A75" w:rsidRPr="00993824" w:rsidRDefault="005E5A75" w:rsidP="005E5A75">
      <w:pPr>
        <w:pStyle w:val="ListParagraph"/>
        <w:numPr>
          <w:ilvl w:val="0"/>
          <w:numId w:val="1"/>
        </w:numPr>
        <w:tabs>
          <w:tab w:val="left" w:pos="841"/>
        </w:tabs>
        <w:spacing w:before="38"/>
        <w:ind w:hanging="360"/>
      </w:pPr>
      <w:r w:rsidRPr="00993824">
        <w:t>Federal Stafford</w:t>
      </w:r>
      <w:r w:rsidRPr="00993824">
        <w:rPr>
          <w:spacing w:val="-2"/>
        </w:rPr>
        <w:t xml:space="preserve"> </w:t>
      </w:r>
      <w:r w:rsidRPr="00993824">
        <w:t>Subsidized</w:t>
      </w:r>
    </w:p>
    <w:p w14:paraId="13DA0509" w14:textId="77777777" w:rsidR="005E5A75" w:rsidRPr="00993824" w:rsidRDefault="005E5A75" w:rsidP="005E5A75">
      <w:pPr>
        <w:pStyle w:val="ListParagraph"/>
        <w:numPr>
          <w:ilvl w:val="0"/>
          <w:numId w:val="1"/>
        </w:numPr>
        <w:tabs>
          <w:tab w:val="left" w:pos="841"/>
        </w:tabs>
        <w:spacing w:before="44"/>
        <w:ind w:hanging="360"/>
      </w:pPr>
      <w:r w:rsidRPr="00993824">
        <w:t>Federal</w:t>
      </w:r>
      <w:r w:rsidRPr="00993824">
        <w:rPr>
          <w:spacing w:val="-1"/>
        </w:rPr>
        <w:t xml:space="preserve"> </w:t>
      </w:r>
      <w:r w:rsidRPr="00993824">
        <w:t>PLUS</w:t>
      </w:r>
    </w:p>
    <w:p w14:paraId="13DA050A" w14:textId="77777777" w:rsidR="005E5A75" w:rsidRPr="00993824" w:rsidRDefault="005E5A75" w:rsidP="005E5A75">
      <w:pPr>
        <w:pStyle w:val="BodyText"/>
        <w:spacing w:line="276" w:lineRule="auto"/>
        <w:ind w:left="120" w:right="106"/>
      </w:pPr>
    </w:p>
    <w:p w14:paraId="13DA050B" w14:textId="77777777" w:rsidR="005E5A75" w:rsidRPr="00993824" w:rsidRDefault="005E5A75" w:rsidP="005E5A75">
      <w:pPr>
        <w:pStyle w:val="BodyText"/>
        <w:spacing w:line="276" w:lineRule="auto"/>
        <w:ind w:left="120" w:right="106"/>
      </w:pPr>
      <w:r w:rsidRPr="00993824">
        <w:t>The student must repay their share by arrangement with their loan servicer.</w:t>
      </w:r>
    </w:p>
    <w:p w14:paraId="13DA050C" w14:textId="77777777" w:rsidR="005E5A75" w:rsidRPr="00993824" w:rsidRDefault="005E5A75" w:rsidP="005E5A75">
      <w:pPr>
        <w:pStyle w:val="BodyText"/>
        <w:spacing w:line="276" w:lineRule="auto"/>
        <w:ind w:left="120" w:right="106"/>
      </w:pPr>
    </w:p>
    <w:p w14:paraId="13DA050D" w14:textId="77777777" w:rsidR="005E5A75" w:rsidRPr="00993824" w:rsidRDefault="005E5A75" w:rsidP="005E5A75">
      <w:pPr>
        <w:pStyle w:val="BodyText"/>
        <w:spacing w:line="276" w:lineRule="auto"/>
        <w:ind w:left="120" w:right="106"/>
      </w:pPr>
      <w:r w:rsidRPr="00993824">
        <w:lastRenderedPageBreak/>
        <w:t>There is a risk that the value which the school has to ret</w:t>
      </w:r>
      <w:r w:rsidR="00D713E7">
        <w:t>urn might not match the University’s withdrawal / refund</w:t>
      </w:r>
      <w:r w:rsidR="008F5A68">
        <w:t xml:space="preserve"> </w:t>
      </w:r>
      <w:r w:rsidRPr="00993824">
        <w:t>policy and leave the s</w:t>
      </w:r>
      <w:r w:rsidR="00D713E7">
        <w:t>tudent owing money to the Institution</w:t>
      </w:r>
      <w:r w:rsidRPr="00993824">
        <w:t>. Thi</w:t>
      </w:r>
      <w:r w:rsidR="00C34438">
        <w:t xml:space="preserve">s should be discussed with Registry Services </w:t>
      </w:r>
      <w:r w:rsidRPr="00993824">
        <w:t>who can tell you the exact effect of any plans to withdraw.</w:t>
      </w:r>
    </w:p>
    <w:p w14:paraId="13DA050E" w14:textId="77777777" w:rsidR="00D36906" w:rsidRDefault="00D36906" w:rsidP="00D36906">
      <w:pPr>
        <w:pStyle w:val="BodyText"/>
        <w:spacing w:line="276" w:lineRule="auto"/>
        <w:ind w:right="312" w:firstLine="119"/>
        <w:rPr>
          <w:rFonts w:asciiTheme="minorHAnsi" w:hAnsiTheme="minorHAnsi" w:cstheme="minorHAnsi"/>
          <w:b/>
        </w:rPr>
      </w:pPr>
    </w:p>
    <w:p w14:paraId="13DA050F" w14:textId="77777777" w:rsidR="005E5A75" w:rsidRDefault="003C16D2" w:rsidP="00D36906">
      <w:pPr>
        <w:pStyle w:val="BodyText"/>
        <w:spacing w:line="276" w:lineRule="auto"/>
        <w:ind w:right="312" w:firstLine="119"/>
        <w:rPr>
          <w:rFonts w:asciiTheme="minorHAnsi" w:hAnsiTheme="minorHAnsi" w:cstheme="minorHAnsi"/>
          <w:b/>
        </w:rPr>
      </w:pPr>
      <w:r>
        <w:rPr>
          <w:rFonts w:asciiTheme="minorHAnsi" w:hAnsiTheme="minorHAnsi" w:cstheme="minorHAnsi"/>
          <w:b/>
        </w:rPr>
        <w:t>Leave of A</w:t>
      </w:r>
      <w:r w:rsidR="005E5A75" w:rsidRPr="00063A4D">
        <w:rPr>
          <w:rFonts w:asciiTheme="minorHAnsi" w:hAnsiTheme="minorHAnsi" w:cstheme="minorHAnsi"/>
          <w:b/>
        </w:rPr>
        <w:t>bsence</w:t>
      </w:r>
      <w:r w:rsidR="00A31116">
        <w:rPr>
          <w:rFonts w:asciiTheme="minorHAnsi" w:hAnsiTheme="minorHAnsi" w:cstheme="minorHAnsi"/>
          <w:b/>
        </w:rPr>
        <w:t xml:space="preserve"> (Students in receipt of Title IV Funds)</w:t>
      </w:r>
    </w:p>
    <w:p w14:paraId="13DA0510" w14:textId="77777777" w:rsidR="006033AF" w:rsidRDefault="006033AF" w:rsidP="006033AF">
      <w:pPr>
        <w:pStyle w:val="BodyText"/>
        <w:spacing w:line="276" w:lineRule="auto"/>
        <w:ind w:right="312"/>
        <w:rPr>
          <w:rFonts w:asciiTheme="minorHAnsi" w:hAnsiTheme="minorHAnsi" w:cstheme="minorHAnsi"/>
          <w:b/>
        </w:rPr>
      </w:pPr>
    </w:p>
    <w:p w14:paraId="13DA0511" w14:textId="77777777" w:rsidR="006033AF" w:rsidRPr="00F70669" w:rsidRDefault="00C618EC" w:rsidP="00F70669">
      <w:pPr>
        <w:pStyle w:val="BodyText"/>
        <w:spacing w:line="276" w:lineRule="auto"/>
        <w:ind w:left="119" w:right="312"/>
        <w:rPr>
          <w:rFonts w:asciiTheme="minorHAnsi" w:hAnsiTheme="minorHAnsi" w:cstheme="minorHAnsi"/>
        </w:rPr>
      </w:pPr>
      <w:r>
        <w:rPr>
          <w:rFonts w:asciiTheme="minorHAnsi" w:hAnsiTheme="minorHAnsi" w:cstheme="minorHAnsi"/>
        </w:rPr>
        <w:t xml:space="preserve">If a </w:t>
      </w:r>
      <w:r w:rsidR="00F70669" w:rsidRPr="00F70669">
        <w:rPr>
          <w:rFonts w:asciiTheme="minorHAnsi" w:hAnsiTheme="minorHAnsi" w:cstheme="minorHAnsi"/>
        </w:rPr>
        <w:t>break in study</w:t>
      </w:r>
      <w:r>
        <w:rPr>
          <w:rFonts w:asciiTheme="minorHAnsi" w:hAnsiTheme="minorHAnsi" w:cstheme="minorHAnsi"/>
        </w:rPr>
        <w:t xml:space="preserve"> is required</w:t>
      </w:r>
      <w:r w:rsidR="00F70669" w:rsidRPr="00F70669">
        <w:rPr>
          <w:rFonts w:asciiTheme="minorHAnsi" w:hAnsiTheme="minorHAnsi" w:cstheme="minorHAnsi"/>
        </w:rPr>
        <w:t xml:space="preserve"> (Leave of Absence</w:t>
      </w:r>
      <w:r>
        <w:rPr>
          <w:rFonts w:asciiTheme="minorHAnsi" w:hAnsiTheme="minorHAnsi" w:cstheme="minorHAnsi"/>
        </w:rPr>
        <w:t>) all students must</w:t>
      </w:r>
      <w:r w:rsidR="00F70669">
        <w:rPr>
          <w:rFonts w:asciiTheme="minorHAnsi" w:hAnsiTheme="minorHAnsi" w:cstheme="minorHAnsi"/>
        </w:rPr>
        <w:t xml:space="preserve"> </w:t>
      </w:r>
      <w:r w:rsidR="00F70669">
        <w:t>com</w:t>
      </w:r>
      <w:r>
        <w:t xml:space="preserve">plete LJMU’s official </w:t>
      </w:r>
      <w:r w:rsidR="00F70669">
        <w:t>process by submitting</w:t>
      </w:r>
      <w:r>
        <w:t xml:space="preserve"> an</w:t>
      </w:r>
      <w:r w:rsidR="00F70669">
        <w:t xml:space="preserve"> official Leave of Absence </w:t>
      </w:r>
      <w:r>
        <w:t>form</w:t>
      </w:r>
      <w:r w:rsidR="00F70669">
        <w:t xml:space="preserve"> located within My Services on LJMU’s student’s homepage. </w:t>
      </w:r>
      <w:r w:rsidR="00F70669">
        <w:rPr>
          <w:rFonts w:asciiTheme="minorHAnsi" w:hAnsiTheme="minorHAnsi" w:cstheme="minorHAnsi"/>
        </w:rPr>
        <w:t xml:space="preserve">All requests have to be authorised via the Faculty Registrar and Program Leader. Students in receipt of US Federal Loans must satisfy the following criteria to be classed as </w:t>
      </w:r>
      <w:r w:rsidR="00C17CCB">
        <w:rPr>
          <w:rFonts w:asciiTheme="minorHAnsi" w:hAnsiTheme="minorHAnsi" w:cstheme="minorHAnsi"/>
        </w:rPr>
        <w:t>an approved ‘LOA’.</w:t>
      </w:r>
      <w:r w:rsidR="006033AF" w:rsidRPr="00F70669">
        <w:rPr>
          <w:rFonts w:asciiTheme="minorHAnsi" w:hAnsiTheme="minorHAnsi" w:cstheme="minorHAnsi"/>
        </w:rPr>
        <w:tab/>
        <w:t xml:space="preserve"> </w:t>
      </w:r>
    </w:p>
    <w:p w14:paraId="13DA0512" w14:textId="77777777" w:rsidR="00C17CCB" w:rsidRDefault="00C17CCB" w:rsidP="00F70669">
      <w:pPr>
        <w:pStyle w:val="BodyText"/>
        <w:spacing w:line="276" w:lineRule="auto"/>
        <w:ind w:left="119" w:right="312"/>
        <w:rPr>
          <w:rFonts w:asciiTheme="minorHAnsi" w:hAnsiTheme="minorHAnsi" w:cstheme="minorHAnsi"/>
        </w:rPr>
      </w:pPr>
    </w:p>
    <w:p w14:paraId="13DA0513" w14:textId="77777777" w:rsidR="00C17CCB" w:rsidRDefault="00C17CCB"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The LOA must not exceed 180 days in a 12 month period including non-study days</w:t>
      </w:r>
    </w:p>
    <w:p w14:paraId="13DA0514" w14:textId="77777777" w:rsidR="00C17CCB" w:rsidRDefault="00C17CCB"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The student is required to resume their studies at the same point in the academic program that he/she began the LOA</w:t>
      </w:r>
    </w:p>
    <w:p w14:paraId="13DA0515" w14:textId="77777777" w:rsidR="004A75C4" w:rsidRDefault="004A75C4"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There must be a reasonable expectation that the student will return from the LOA</w:t>
      </w:r>
    </w:p>
    <w:p w14:paraId="13DA0516" w14:textId="77777777" w:rsidR="00C17CCB" w:rsidRDefault="00C17CCB"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Students can only request one break every 12 months</w:t>
      </w:r>
    </w:p>
    <w:p w14:paraId="13DA0517" w14:textId="77777777" w:rsidR="00495105" w:rsidRDefault="00C17CCB"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LJMU will inform the student</w:t>
      </w:r>
      <w:r w:rsidR="003C16D2">
        <w:rPr>
          <w:rFonts w:asciiTheme="minorHAnsi" w:hAnsiTheme="minorHAnsi" w:cstheme="minorHAnsi"/>
        </w:rPr>
        <w:t xml:space="preserve"> of the possible consequences a</w:t>
      </w:r>
      <w:r>
        <w:rPr>
          <w:rFonts w:asciiTheme="minorHAnsi" w:hAnsiTheme="minorHAnsi" w:cstheme="minorHAnsi"/>
        </w:rPr>
        <w:t xml:space="preserve"> LOA will have on </w:t>
      </w:r>
      <w:r w:rsidR="00495105">
        <w:rPr>
          <w:rFonts w:asciiTheme="minorHAnsi" w:hAnsiTheme="minorHAnsi" w:cstheme="minorHAnsi"/>
        </w:rPr>
        <w:t>the student’s loan repayment terms, including the potential exhaustion of the student’s grace period.</w:t>
      </w:r>
    </w:p>
    <w:p w14:paraId="13DA0518" w14:textId="77777777" w:rsidR="006033AF" w:rsidRDefault="00495105" w:rsidP="00C17CCB">
      <w:pPr>
        <w:pStyle w:val="BodyText"/>
        <w:numPr>
          <w:ilvl w:val="0"/>
          <w:numId w:val="4"/>
        </w:numPr>
        <w:spacing w:line="276" w:lineRule="auto"/>
        <w:ind w:right="312"/>
        <w:rPr>
          <w:rFonts w:asciiTheme="minorHAnsi" w:hAnsiTheme="minorHAnsi" w:cstheme="minorHAnsi"/>
        </w:rPr>
      </w:pPr>
      <w:r>
        <w:rPr>
          <w:rFonts w:asciiTheme="minorHAnsi" w:hAnsiTheme="minorHAnsi" w:cstheme="minorHAnsi"/>
        </w:rPr>
        <w:t xml:space="preserve">The LOA must be requested in advance, unless unforeseen circumstances prevent the student from doing so. </w:t>
      </w:r>
      <w:r w:rsidR="00AB0E3D">
        <w:rPr>
          <w:rFonts w:asciiTheme="minorHAnsi" w:hAnsiTheme="minorHAnsi" w:cstheme="minorHAnsi"/>
        </w:rPr>
        <w:t>Unforeseen circumstances include injury and illness.</w:t>
      </w:r>
      <w:r w:rsidR="006033AF">
        <w:rPr>
          <w:rFonts w:asciiTheme="minorHAnsi" w:hAnsiTheme="minorHAnsi" w:cstheme="minorHAnsi"/>
        </w:rPr>
        <w:tab/>
      </w:r>
    </w:p>
    <w:p w14:paraId="13DA0519" w14:textId="77777777" w:rsidR="004A75C4" w:rsidRDefault="004A75C4" w:rsidP="004A75C4">
      <w:pPr>
        <w:pStyle w:val="BodyText"/>
        <w:spacing w:line="276" w:lineRule="auto"/>
        <w:ind w:left="119" w:right="312"/>
        <w:rPr>
          <w:rFonts w:asciiTheme="minorHAnsi" w:hAnsiTheme="minorHAnsi" w:cstheme="minorHAnsi"/>
        </w:rPr>
      </w:pPr>
    </w:p>
    <w:p w14:paraId="13DA051A" w14:textId="77777777" w:rsidR="00A31116" w:rsidRDefault="004A75C4" w:rsidP="004A75C4">
      <w:pPr>
        <w:pStyle w:val="BodyText"/>
        <w:spacing w:line="276" w:lineRule="auto"/>
        <w:ind w:left="119" w:right="312"/>
        <w:rPr>
          <w:rFonts w:asciiTheme="minorHAnsi" w:hAnsiTheme="minorHAnsi" w:cstheme="minorHAnsi"/>
        </w:rPr>
      </w:pPr>
      <w:r>
        <w:rPr>
          <w:rFonts w:asciiTheme="minorHAnsi" w:hAnsiTheme="minorHAnsi" w:cstheme="minorHAnsi"/>
        </w:rPr>
        <w:t>A student granted an LOA that satisfies the criteria listed above is not considered to have withdrawn and no R2T4 calculation is required.</w:t>
      </w:r>
      <w:r w:rsidR="00C618EC">
        <w:rPr>
          <w:rFonts w:asciiTheme="minorHAnsi" w:hAnsiTheme="minorHAnsi" w:cstheme="minorHAnsi"/>
        </w:rPr>
        <w:t xml:space="preserve"> During the LOA period</w:t>
      </w:r>
      <w:r w:rsidR="00094055">
        <w:rPr>
          <w:rFonts w:asciiTheme="minorHAnsi" w:hAnsiTheme="minorHAnsi" w:cstheme="minorHAnsi"/>
        </w:rPr>
        <w:t>,</w:t>
      </w:r>
      <w:r w:rsidR="00C618EC">
        <w:rPr>
          <w:rFonts w:asciiTheme="minorHAnsi" w:hAnsiTheme="minorHAnsi" w:cstheme="minorHAnsi"/>
        </w:rPr>
        <w:t xml:space="preserve"> LJMU will not assess the student for any additional institutional costs increasing the </w:t>
      </w:r>
      <w:r w:rsidR="00094055">
        <w:rPr>
          <w:rFonts w:asciiTheme="minorHAnsi" w:hAnsiTheme="minorHAnsi" w:cstheme="minorHAnsi"/>
        </w:rPr>
        <w:t>student’s</w:t>
      </w:r>
      <w:r w:rsidR="00C618EC">
        <w:rPr>
          <w:rFonts w:asciiTheme="minorHAnsi" w:hAnsiTheme="minorHAnsi" w:cstheme="minorHAnsi"/>
        </w:rPr>
        <w:t xml:space="preserve"> financial need.</w:t>
      </w:r>
      <w:r w:rsidR="00094055">
        <w:rPr>
          <w:rFonts w:asciiTheme="minorHAnsi" w:hAnsiTheme="minorHAnsi" w:cstheme="minorHAnsi"/>
        </w:rPr>
        <w:t xml:space="preserve"> The student is not entitled to Federal Aid Loan disbursements during the LOA period.</w:t>
      </w:r>
    </w:p>
    <w:p w14:paraId="13DA051B" w14:textId="77777777" w:rsidR="00A31116" w:rsidRDefault="00A31116" w:rsidP="00D36906">
      <w:pPr>
        <w:pStyle w:val="BodyText"/>
        <w:spacing w:line="276" w:lineRule="auto"/>
        <w:ind w:right="312" w:firstLine="119"/>
        <w:rPr>
          <w:rFonts w:asciiTheme="minorHAnsi" w:hAnsiTheme="minorHAnsi" w:cstheme="minorHAnsi"/>
        </w:rPr>
      </w:pPr>
    </w:p>
    <w:p w14:paraId="13DA051C" w14:textId="77777777" w:rsidR="00D36906" w:rsidRPr="00063A4D" w:rsidRDefault="00D36906" w:rsidP="00D36906">
      <w:pPr>
        <w:pStyle w:val="BodyText"/>
        <w:spacing w:line="276" w:lineRule="auto"/>
        <w:ind w:right="312" w:firstLine="119"/>
        <w:rPr>
          <w:rFonts w:asciiTheme="minorHAnsi" w:hAnsiTheme="minorHAnsi" w:cstheme="minorHAnsi"/>
          <w:b/>
        </w:rPr>
      </w:pPr>
      <w:r w:rsidRPr="00A31116">
        <w:rPr>
          <w:rFonts w:asciiTheme="minorHAnsi" w:hAnsiTheme="minorHAnsi" w:cstheme="minorHAnsi"/>
        </w:rPr>
        <w:t xml:space="preserve">Please refer to the following link which details LJMU’s </w:t>
      </w:r>
      <w:r w:rsidR="00A31116" w:rsidRPr="00A31116">
        <w:rPr>
          <w:rFonts w:asciiTheme="minorHAnsi" w:hAnsiTheme="minorHAnsi" w:cstheme="minorHAnsi"/>
        </w:rPr>
        <w:t>‘</w:t>
      </w:r>
      <w:r w:rsidRPr="00A31116">
        <w:rPr>
          <w:rFonts w:asciiTheme="minorHAnsi" w:hAnsiTheme="minorHAnsi" w:cstheme="minorHAnsi"/>
        </w:rPr>
        <w:t xml:space="preserve">Leave of </w:t>
      </w:r>
      <w:r w:rsidR="00A31116" w:rsidRPr="00A31116">
        <w:rPr>
          <w:rFonts w:asciiTheme="minorHAnsi" w:hAnsiTheme="minorHAnsi" w:cstheme="minorHAnsi"/>
        </w:rPr>
        <w:t>A</w:t>
      </w:r>
      <w:r w:rsidRPr="00A31116">
        <w:rPr>
          <w:rFonts w:asciiTheme="minorHAnsi" w:hAnsiTheme="minorHAnsi" w:cstheme="minorHAnsi"/>
        </w:rPr>
        <w:t xml:space="preserve">bsence </w:t>
      </w:r>
      <w:r w:rsidR="00A31116" w:rsidRPr="00A31116">
        <w:rPr>
          <w:rFonts w:asciiTheme="minorHAnsi" w:hAnsiTheme="minorHAnsi" w:cstheme="minorHAnsi"/>
        </w:rPr>
        <w:t>P</w:t>
      </w:r>
      <w:r w:rsidRPr="00A31116">
        <w:rPr>
          <w:rFonts w:asciiTheme="minorHAnsi" w:hAnsiTheme="minorHAnsi" w:cstheme="minorHAnsi"/>
        </w:rPr>
        <w:t>olicy</w:t>
      </w:r>
      <w:r w:rsidR="00A31116" w:rsidRPr="00A31116">
        <w:rPr>
          <w:rFonts w:asciiTheme="minorHAnsi" w:hAnsiTheme="minorHAnsi" w:cstheme="minorHAnsi"/>
        </w:rPr>
        <w:t>’</w:t>
      </w:r>
      <w:r w:rsidR="00094055">
        <w:rPr>
          <w:rFonts w:asciiTheme="minorHAnsi" w:hAnsiTheme="minorHAnsi" w:cstheme="minorHAnsi"/>
        </w:rPr>
        <w:t xml:space="preserve"> </w:t>
      </w:r>
    </w:p>
    <w:p w14:paraId="13DA051D" w14:textId="77777777" w:rsidR="005E5A75" w:rsidRPr="00063A4D" w:rsidRDefault="005E5A75" w:rsidP="005E5A75">
      <w:pPr>
        <w:pStyle w:val="BodyText"/>
        <w:spacing w:line="276" w:lineRule="auto"/>
        <w:ind w:left="119" w:right="312"/>
        <w:rPr>
          <w:rFonts w:asciiTheme="minorHAnsi" w:hAnsiTheme="minorHAnsi" w:cstheme="minorHAnsi"/>
        </w:rPr>
      </w:pPr>
    </w:p>
    <w:p w14:paraId="13DA051E" w14:textId="77777777" w:rsidR="005E5A75" w:rsidRPr="00063A4D" w:rsidRDefault="005E5A75" w:rsidP="005E5A75">
      <w:pPr>
        <w:pStyle w:val="BodyText"/>
        <w:spacing w:line="276" w:lineRule="auto"/>
        <w:ind w:left="119" w:right="312"/>
        <w:rPr>
          <w:rFonts w:asciiTheme="minorHAnsi" w:hAnsiTheme="minorHAnsi" w:cstheme="minorHAnsi"/>
          <w:b/>
        </w:rPr>
      </w:pPr>
      <w:r w:rsidRPr="00063A4D">
        <w:rPr>
          <w:rFonts w:asciiTheme="minorHAnsi" w:hAnsiTheme="minorHAnsi" w:cstheme="minorHAnsi"/>
          <w:b/>
        </w:rPr>
        <w:t>Non Attendance</w:t>
      </w:r>
    </w:p>
    <w:p w14:paraId="13DA051F" w14:textId="77777777" w:rsidR="005E5A75" w:rsidRPr="00063A4D" w:rsidRDefault="005E5A75" w:rsidP="005E5A75">
      <w:pPr>
        <w:pStyle w:val="BodyText"/>
        <w:spacing w:line="276" w:lineRule="auto"/>
        <w:ind w:left="119" w:right="312"/>
        <w:rPr>
          <w:rFonts w:asciiTheme="minorHAnsi" w:hAnsiTheme="minorHAnsi" w:cstheme="minorHAnsi"/>
          <w:b/>
        </w:rPr>
      </w:pPr>
    </w:p>
    <w:p w14:paraId="13DA0520" w14:textId="77777777" w:rsidR="005E5A75" w:rsidRPr="00063A4D" w:rsidRDefault="003C16D2" w:rsidP="005E5A75">
      <w:pPr>
        <w:pStyle w:val="BodyText"/>
        <w:spacing w:line="276" w:lineRule="auto"/>
        <w:ind w:left="119" w:right="312"/>
        <w:rPr>
          <w:rFonts w:asciiTheme="minorHAnsi" w:hAnsiTheme="minorHAnsi" w:cstheme="minorHAnsi"/>
        </w:rPr>
      </w:pPr>
      <w:r>
        <w:rPr>
          <w:rFonts w:asciiTheme="minorHAnsi" w:hAnsiTheme="minorHAnsi" w:cstheme="minorHAnsi"/>
        </w:rPr>
        <w:t>If a student does not register</w:t>
      </w:r>
      <w:r w:rsidR="005E5A75" w:rsidRPr="00063A4D">
        <w:rPr>
          <w:rFonts w:asciiTheme="minorHAnsi" w:hAnsiTheme="minorHAnsi" w:cstheme="minorHAnsi"/>
        </w:rPr>
        <w:t xml:space="preserve"> at the university at the start</w:t>
      </w:r>
      <w:r w:rsidR="00D146C1" w:rsidRPr="00063A4D">
        <w:rPr>
          <w:rFonts w:asciiTheme="minorHAnsi" w:hAnsiTheme="minorHAnsi" w:cstheme="minorHAnsi"/>
        </w:rPr>
        <w:t xml:space="preserve"> of the course, we would not cl</w:t>
      </w:r>
      <w:r w:rsidR="005E5A75" w:rsidRPr="00063A4D">
        <w:rPr>
          <w:rFonts w:asciiTheme="minorHAnsi" w:hAnsiTheme="minorHAnsi" w:cstheme="minorHAnsi"/>
        </w:rPr>
        <w:t>ass the student as an eligible student for Federal Title 1V Aid and would not request the disbursement of any such funds. At the point where a student confirms, or the University determines, non-attendance; the loan will be cancelled.</w:t>
      </w:r>
    </w:p>
    <w:p w14:paraId="13DA0521" w14:textId="77777777" w:rsidR="005E5A75" w:rsidRPr="00063A4D" w:rsidRDefault="005E5A75" w:rsidP="005E5A75">
      <w:pPr>
        <w:pStyle w:val="BodyText"/>
        <w:spacing w:line="276" w:lineRule="auto"/>
        <w:ind w:left="119" w:right="312"/>
        <w:rPr>
          <w:rFonts w:asciiTheme="minorHAnsi" w:hAnsiTheme="minorHAnsi" w:cstheme="minorHAnsi"/>
          <w:b/>
        </w:rPr>
      </w:pPr>
    </w:p>
    <w:p w14:paraId="13DA0522" w14:textId="77777777" w:rsidR="005E5A75" w:rsidRPr="00063A4D" w:rsidRDefault="005E5A75" w:rsidP="005E5A75">
      <w:pPr>
        <w:pStyle w:val="BodyText"/>
        <w:spacing w:line="276" w:lineRule="auto"/>
        <w:ind w:left="119" w:right="312"/>
        <w:rPr>
          <w:rFonts w:asciiTheme="minorHAnsi" w:hAnsiTheme="minorHAnsi" w:cstheme="minorHAnsi"/>
          <w:b/>
        </w:rPr>
      </w:pPr>
      <w:r w:rsidRPr="00063A4D">
        <w:rPr>
          <w:rFonts w:asciiTheme="minorHAnsi" w:hAnsiTheme="minorHAnsi" w:cstheme="minorHAnsi"/>
          <w:b/>
        </w:rPr>
        <w:t>Cooling Off Period</w:t>
      </w:r>
    </w:p>
    <w:p w14:paraId="13DA0523" w14:textId="77777777" w:rsidR="00D36906" w:rsidRDefault="00D36906" w:rsidP="005E5A75">
      <w:pPr>
        <w:pStyle w:val="BodyText"/>
        <w:spacing w:line="276" w:lineRule="auto"/>
        <w:ind w:left="119" w:right="312"/>
        <w:rPr>
          <w:rFonts w:asciiTheme="minorHAnsi" w:hAnsiTheme="minorHAnsi" w:cstheme="minorHAnsi"/>
        </w:rPr>
      </w:pPr>
    </w:p>
    <w:p w14:paraId="13DA0524" w14:textId="77777777" w:rsidR="005E5A75" w:rsidRPr="00063A4D" w:rsidRDefault="005E5A75" w:rsidP="005E5A75">
      <w:pPr>
        <w:pStyle w:val="BodyText"/>
        <w:spacing w:line="276" w:lineRule="auto"/>
        <w:ind w:left="119" w:right="312"/>
        <w:rPr>
          <w:rFonts w:asciiTheme="minorHAnsi" w:hAnsiTheme="minorHAnsi" w:cstheme="minorHAnsi"/>
        </w:rPr>
      </w:pPr>
      <w:r w:rsidRPr="00063A4D">
        <w:rPr>
          <w:rFonts w:asciiTheme="minorHAnsi" w:hAnsiTheme="minorHAnsi" w:cstheme="minorHAnsi"/>
        </w:rPr>
        <w:t>If a student leaves their course within 14 days of registration, there will be no charge for tuition, this applies to both undergraduate and postgraduate students.</w:t>
      </w:r>
    </w:p>
    <w:p w14:paraId="13DA0525" w14:textId="77777777" w:rsidR="008637CA" w:rsidRDefault="008637CA">
      <w:pPr>
        <w:rPr>
          <w:rFonts w:asciiTheme="minorHAnsi" w:hAnsiTheme="minorHAnsi" w:cstheme="minorHAnsi"/>
        </w:rPr>
      </w:pPr>
    </w:p>
    <w:p w14:paraId="4794C293" w14:textId="77777777" w:rsidR="007C5122" w:rsidRDefault="007C5122" w:rsidP="003A7D4E">
      <w:pPr>
        <w:ind w:firstLine="119"/>
        <w:rPr>
          <w:rFonts w:asciiTheme="minorHAnsi" w:hAnsiTheme="minorHAnsi" w:cstheme="minorHAnsi"/>
          <w:b/>
        </w:rPr>
      </w:pPr>
    </w:p>
    <w:p w14:paraId="6684E9D8" w14:textId="77777777" w:rsidR="007C5122" w:rsidRDefault="007C5122" w:rsidP="003A7D4E">
      <w:pPr>
        <w:ind w:firstLine="119"/>
        <w:rPr>
          <w:rFonts w:asciiTheme="minorHAnsi" w:hAnsiTheme="minorHAnsi" w:cstheme="minorHAnsi"/>
          <w:b/>
        </w:rPr>
      </w:pPr>
    </w:p>
    <w:p w14:paraId="28C833C2" w14:textId="77777777" w:rsidR="007C5122" w:rsidRDefault="007C5122" w:rsidP="003A7D4E">
      <w:pPr>
        <w:ind w:firstLine="119"/>
        <w:rPr>
          <w:rFonts w:asciiTheme="minorHAnsi" w:hAnsiTheme="minorHAnsi" w:cstheme="minorHAnsi"/>
          <w:b/>
        </w:rPr>
      </w:pPr>
    </w:p>
    <w:p w14:paraId="0EAF0494" w14:textId="77777777" w:rsidR="007C5122" w:rsidRDefault="007C5122" w:rsidP="003A7D4E">
      <w:pPr>
        <w:ind w:firstLine="119"/>
        <w:rPr>
          <w:rFonts w:asciiTheme="minorHAnsi" w:hAnsiTheme="minorHAnsi" w:cstheme="minorHAnsi"/>
          <w:b/>
        </w:rPr>
      </w:pPr>
    </w:p>
    <w:p w14:paraId="6109B4B7" w14:textId="77777777" w:rsidR="007C5122" w:rsidRDefault="007C5122" w:rsidP="003A7D4E">
      <w:pPr>
        <w:ind w:firstLine="119"/>
        <w:rPr>
          <w:rFonts w:asciiTheme="minorHAnsi" w:hAnsiTheme="minorHAnsi" w:cstheme="minorHAnsi"/>
          <w:b/>
        </w:rPr>
      </w:pPr>
    </w:p>
    <w:p w14:paraId="1BBD4526" w14:textId="77777777" w:rsidR="007C5122" w:rsidRDefault="007C5122" w:rsidP="003A7D4E">
      <w:pPr>
        <w:ind w:firstLine="119"/>
        <w:rPr>
          <w:rFonts w:asciiTheme="minorHAnsi" w:hAnsiTheme="minorHAnsi" w:cstheme="minorHAnsi"/>
          <w:b/>
        </w:rPr>
      </w:pPr>
    </w:p>
    <w:p w14:paraId="2EDF8553" w14:textId="77777777" w:rsidR="007C5122" w:rsidRDefault="007C5122" w:rsidP="003A7D4E">
      <w:pPr>
        <w:ind w:firstLine="119"/>
        <w:rPr>
          <w:rFonts w:asciiTheme="minorHAnsi" w:hAnsiTheme="minorHAnsi" w:cstheme="minorHAnsi"/>
          <w:b/>
        </w:rPr>
      </w:pPr>
    </w:p>
    <w:p w14:paraId="3E50FD54" w14:textId="77777777" w:rsidR="007C5122" w:rsidRDefault="007C5122" w:rsidP="003A7D4E">
      <w:pPr>
        <w:ind w:firstLine="119"/>
        <w:rPr>
          <w:rFonts w:asciiTheme="minorHAnsi" w:hAnsiTheme="minorHAnsi" w:cstheme="minorHAnsi"/>
          <w:b/>
        </w:rPr>
      </w:pPr>
    </w:p>
    <w:p w14:paraId="13DA0526" w14:textId="500A8303" w:rsidR="003A7D4E" w:rsidRDefault="001E6CA3" w:rsidP="003A7D4E">
      <w:pPr>
        <w:ind w:firstLine="119"/>
        <w:rPr>
          <w:rFonts w:asciiTheme="minorHAnsi" w:hAnsiTheme="minorHAnsi" w:cstheme="minorHAnsi"/>
          <w:b/>
        </w:rPr>
      </w:pPr>
      <w:r>
        <w:rPr>
          <w:rFonts w:asciiTheme="minorHAnsi" w:hAnsiTheme="minorHAnsi" w:cstheme="minorHAnsi"/>
          <w:b/>
        </w:rPr>
        <w:lastRenderedPageBreak/>
        <w:t>Examples of p</w:t>
      </w:r>
      <w:r w:rsidR="003A7D4E" w:rsidRPr="003E37F9">
        <w:rPr>
          <w:rFonts w:asciiTheme="minorHAnsi" w:hAnsiTheme="minorHAnsi" w:cstheme="minorHAnsi"/>
          <w:b/>
        </w:rPr>
        <w:t>ayment periods</w:t>
      </w:r>
      <w:r w:rsidR="00D36906" w:rsidRPr="003E37F9">
        <w:rPr>
          <w:rFonts w:asciiTheme="minorHAnsi" w:hAnsiTheme="minorHAnsi" w:cstheme="minorHAnsi"/>
          <w:b/>
        </w:rPr>
        <w:t xml:space="preserve"> and R2T4 calculation</w:t>
      </w:r>
    </w:p>
    <w:p w14:paraId="13DA0527" w14:textId="77777777" w:rsidR="003E37F9" w:rsidRDefault="003E37F9" w:rsidP="003A7D4E">
      <w:pPr>
        <w:ind w:firstLine="119"/>
        <w:rPr>
          <w:rFonts w:asciiTheme="minorHAnsi" w:hAnsiTheme="minorHAnsi" w:cstheme="minorHAnsi"/>
          <w:b/>
        </w:rPr>
      </w:pPr>
    </w:p>
    <w:tbl>
      <w:tblPr>
        <w:tblStyle w:val="TableGrid"/>
        <w:tblW w:w="0" w:type="auto"/>
        <w:tblLook w:val="04A0" w:firstRow="1" w:lastRow="0" w:firstColumn="1" w:lastColumn="0" w:noHBand="0" w:noVBand="1"/>
      </w:tblPr>
      <w:tblGrid>
        <w:gridCol w:w="1345"/>
        <w:gridCol w:w="1322"/>
        <w:gridCol w:w="1038"/>
        <w:gridCol w:w="1449"/>
        <w:gridCol w:w="1449"/>
        <w:gridCol w:w="1348"/>
        <w:gridCol w:w="1309"/>
      </w:tblGrid>
      <w:tr w:rsidR="00B26B8D" w14:paraId="13DA0531" w14:textId="77777777" w:rsidTr="00BF023A">
        <w:tc>
          <w:tcPr>
            <w:tcW w:w="1345" w:type="dxa"/>
          </w:tcPr>
          <w:p w14:paraId="13DA0528" w14:textId="77777777" w:rsidR="00B26B8D" w:rsidRDefault="0035641E" w:rsidP="003A7D4E">
            <w:pPr>
              <w:rPr>
                <w:rFonts w:asciiTheme="minorHAnsi" w:hAnsiTheme="minorHAnsi" w:cstheme="minorHAnsi"/>
                <w:b/>
              </w:rPr>
            </w:pPr>
            <w:r>
              <w:rPr>
                <w:rFonts w:asciiTheme="minorHAnsi" w:hAnsiTheme="minorHAnsi" w:cstheme="minorHAnsi"/>
                <w:b/>
              </w:rPr>
              <w:t>Loan p</w:t>
            </w:r>
            <w:r w:rsidR="00B26B8D">
              <w:rPr>
                <w:rFonts w:asciiTheme="minorHAnsi" w:hAnsiTheme="minorHAnsi" w:cstheme="minorHAnsi"/>
                <w:b/>
              </w:rPr>
              <w:t>ayment Period</w:t>
            </w:r>
          </w:p>
        </w:tc>
        <w:tc>
          <w:tcPr>
            <w:tcW w:w="1322" w:type="dxa"/>
          </w:tcPr>
          <w:p w14:paraId="13DA0529" w14:textId="77777777" w:rsidR="00B26B8D" w:rsidRDefault="00B26B8D" w:rsidP="003A7D4E">
            <w:pPr>
              <w:rPr>
                <w:rFonts w:asciiTheme="minorHAnsi" w:hAnsiTheme="minorHAnsi" w:cstheme="minorHAnsi"/>
                <w:b/>
              </w:rPr>
            </w:pPr>
            <w:r>
              <w:rPr>
                <w:rFonts w:asciiTheme="minorHAnsi" w:hAnsiTheme="minorHAnsi" w:cstheme="minorHAnsi"/>
                <w:b/>
              </w:rPr>
              <w:t>Number of days in pay Period</w:t>
            </w:r>
          </w:p>
        </w:tc>
        <w:tc>
          <w:tcPr>
            <w:tcW w:w="1038" w:type="dxa"/>
          </w:tcPr>
          <w:p w14:paraId="13DA052A" w14:textId="77777777" w:rsidR="00B26B8D" w:rsidRDefault="00B26B8D" w:rsidP="003A7D4E">
            <w:pPr>
              <w:rPr>
                <w:rFonts w:asciiTheme="minorHAnsi" w:hAnsiTheme="minorHAnsi" w:cstheme="minorHAnsi"/>
                <w:b/>
              </w:rPr>
            </w:pPr>
            <w:r>
              <w:rPr>
                <w:rFonts w:asciiTheme="minorHAnsi" w:hAnsiTheme="minorHAnsi" w:cstheme="minorHAnsi"/>
                <w:b/>
              </w:rPr>
              <w:t>Number of study days in pay period</w:t>
            </w:r>
          </w:p>
        </w:tc>
        <w:tc>
          <w:tcPr>
            <w:tcW w:w="1449" w:type="dxa"/>
          </w:tcPr>
          <w:p w14:paraId="13DA052B" w14:textId="77777777" w:rsidR="00B26B8D" w:rsidRDefault="00B26B8D" w:rsidP="003A7D4E">
            <w:pPr>
              <w:rPr>
                <w:rFonts w:asciiTheme="minorHAnsi" w:hAnsiTheme="minorHAnsi" w:cstheme="minorHAnsi"/>
                <w:b/>
              </w:rPr>
            </w:pPr>
            <w:r>
              <w:rPr>
                <w:rFonts w:asciiTheme="minorHAnsi" w:hAnsiTheme="minorHAnsi" w:cstheme="minorHAnsi"/>
                <w:b/>
              </w:rPr>
              <w:t>Withdrawal date / LOA greater than 180 Days</w:t>
            </w:r>
          </w:p>
        </w:tc>
        <w:tc>
          <w:tcPr>
            <w:tcW w:w="1449" w:type="dxa"/>
          </w:tcPr>
          <w:p w14:paraId="13DA052C" w14:textId="77777777" w:rsidR="00B26B8D" w:rsidRDefault="00B26B8D" w:rsidP="003A7D4E">
            <w:pPr>
              <w:rPr>
                <w:rFonts w:asciiTheme="minorHAnsi" w:hAnsiTheme="minorHAnsi" w:cstheme="minorHAnsi"/>
                <w:b/>
              </w:rPr>
            </w:pPr>
            <w:r>
              <w:rPr>
                <w:rFonts w:asciiTheme="minorHAnsi" w:hAnsiTheme="minorHAnsi" w:cstheme="minorHAnsi"/>
                <w:b/>
              </w:rPr>
              <w:t xml:space="preserve">Total number of days enrolled on </w:t>
            </w:r>
            <w:r w:rsidR="00163E4A">
              <w:rPr>
                <w:rFonts w:asciiTheme="minorHAnsi" w:hAnsiTheme="minorHAnsi" w:cstheme="minorHAnsi"/>
                <w:b/>
              </w:rPr>
              <w:t>program</w:t>
            </w:r>
          </w:p>
        </w:tc>
        <w:tc>
          <w:tcPr>
            <w:tcW w:w="1348" w:type="dxa"/>
          </w:tcPr>
          <w:p w14:paraId="13DA052D" w14:textId="77777777" w:rsidR="00B26B8D" w:rsidRDefault="00B26B8D" w:rsidP="00B26B8D">
            <w:pPr>
              <w:rPr>
                <w:rFonts w:asciiTheme="minorHAnsi" w:hAnsiTheme="minorHAnsi" w:cstheme="minorHAnsi"/>
                <w:b/>
              </w:rPr>
            </w:pPr>
            <w:r>
              <w:rPr>
                <w:rFonts w:asciiTheme="minorHAnsi" w:hAnsiTheme="minorHAnsi" w:cstheme="minorHAnsi"/>
                <w:b/>
              </w:rPr>
              <w:t>Non-study days within Payment period</w:t>
            </w:r>
          </w:p>
        </w:tc>
        <w:tc>
          <w:tcPr>
            <w:tcW w:w="1309" w:type="dxa"/>
          </w:tcPr>
          <w:p w14:paraId="13DA052E" w14:textId="77777777" w:rsidR="00B26B8D" w:rsidRDefault="00F0148F" w:rsidP="003A7D4E">
            <w:pPr>
              <w:rPr>
                <w:rFonts w:asciiTheme="minorHAnsi" w:hAnsiTheme="minorHAnsi" w:cstheme="minorHAnsi"/>
                <w:b/>
              </w:rPr>
            </w:pPr>
            <w:r>
              <w:rPr>
                <w:rFonts w:asciiTheme="minorHAnsi" w:hAnsiTheme="minorHAnsi" w:cstheme="minorHAnsi"/>
                <w:b/>
              </w:rPr>
              <w:t>Loan Period</w:t>
            </w:r>
          </w:p>
          <w:p w14:paraId="13DA052F" w14:textId="77777777" w:rsidR="00F0148F" w:rsidRDefault="00F0148F" w:rsidP="003A7D4E">
            <w:pPr>
              <w:rPr>
                <w:rFonts w:asciiTheme="minorHAnsi" w:hAnsiTheme="minorHAnsi" w:cstheme="minorHAnsi"/>
                <w:b/>
              </w:rPr>
            </w:pPr>
          </w:p>
          <w:p w14:paraId="13DA0530" w14:textId="77777777" w:rsidR="00F0148F" w:rsidRDefault="00F0148F" w:rsidP="003A7D4E">
            <w:pPr>
              <w:rPr>
                <w:rFonts w:asciiTheme="minorHAnsi" w:hAnsiTheme="minorHAnsi" w:cstheme="minorHAnsi"/>
                <w:b/>
              </w:rPr>
            </w:pPr>
          </w:p>
        </w:tc>
      </w:tr>
      <w:tr w:rsidR="00B26B8D" w14:paraId="13DA053A" w14:textId="77777777" w:rsidTr="00BF023A">
        <w:tc>
          <w:tcPr>
            <w:tcW w:w="1345" w:type="dxa"/>
          </w:tcPr>
          <w:p w14:paraId="13DA0532" w14:textId="66204451" w:rsidR="00B26B8D" w:rsidRDefault="00B26B8D" w:rsidP="003A7D4E">
            <w:pPr>
              <w:rPr>
                <w:rFonts w:asciiTheme="minorHAnsi" w:hAnsiTheme="minorHAnsi" w:cstheme="minorHAnsi"/>
                <w:b/>
              </w:rPr>
            </w:pPr>
            <w:r>
              <w:rPr>
                <w:rFonts w:asciiTheme="minorHAnsi" w:hAnsiTheme="minorHAnsi" w:cstheme="minorHAnsi"/>
                <w:b/>
              </w:rPr>
              <w:t>17</w:t>
            </w:r>
            <w:r w:rsidRPr="00B26B8D">
              <w:rPr>
                <w:rFonts w:asciiTheme="minorHAnsi" w:hAnsiTheme="minorHAnsi" w:cstheme="minorHAnsi"/>
                <w:b/>
                <w:vertAlign w:val="superscript"/>
              </w:rPr>
              <w:t>th</w:t>
            </w:r>
            <w:r>
              <w:rPr>
                <w:rFonts w:asciiTheme="minorHAnsi" w:hAnsiTheme="minorHAnsi" w:cstheme="minorHAnsi"/>
                <w:b/>
              </w:rPr>
              <w:t xml:space="preserve"> Sep 20</w:t>
            </w:r>
            <w:r w:rsidR="00CB7968">
              <w:rPr>
                <w:rFonts w:asciiTheme="minorHAnsi" w:hAnsiTheme="minorHAnsi" w:cstheme="minorHAnsi"/>
                <w:b/>
              </w:rPr>
              <w:t>23</w:t>
            </w:r>
            <w:r>
              <w:rPr>
                <w:rFonts w:asciiTheme="minorHAnsi" w:hAnsiTheme="minorHAnsi" w:cstheme="minorHAnsi"/>
                <w:b/>
              </w:rPr>
              <w:t xml:space="preserve"> </w:t>
            </w:r>
            <w:r w:rsidR="00D713E7">
              <w:rPr>
                <w:rFonts w:asciiTheme="minorHAnsi" w:hAnsiTheme="minorHAnsi" w:cstheme="minorHAnsi"/>
                <w:b/>
              </w:rPr>
              <w:t>– 31</w:t>
            </w:r>
            <w:r w:rsidR="00D713E7" w:rsidRPr="00D713E7">
              <w:rPr>
                <w:rFonts w:asciiTheme="minorHAnsi" w:hAnsiTheme="minorHAnsi" w:cstheme="minorHAnsi"/>
                <w:b/>
                <w:vertAlign w:val="superscript"/>
              </w:rPr>
              <w:t>st</w:t>
            </w:r>
            <w:r w:rsidR="00D713E7">
              <w:rPr>
                <w:rFonts w:asciiTheme="minorHAnsi" w:hAnsiTheme="minorHAnsi" w:cstheme="minorHAnsi"/>
                <w:b/>
              </w:rPr>
              <w:t xml:space="preserve"> </w:t>
            </w:r>
            <w:r>
              <w:rPr>
                <w:rFonts w:asciiTheme="minorHAnsi" w:hAnsiTheme="minorHAnsi" w:cstheme="minorHAnsi"/>
                <w:b/>
              </w:rPr>
              <w:t xml:space="preserve"> Dec 20</w:t>
            </w:r>
            <w:r w:rsidR="00CB7968">
              <w:rPr>
                <w:rFonts w:asciiTheme="minorHAnsi" w:hAnsiTheme="minorHAnsi" w:cstheme="minorHAnsi"/>
                <w:b/>
              </w:rPr>
              <w:t>23</w:t>
            </w:r>
          </w:p>
          <w:p w14:paraId="13DA0533" w14:textId="77777777" w:rsidR="001E6CA3" w:rsidRDefault="001E6CA3" w:rsidP="003A7D4E">
            <w:pPr>
              <w:rPr>
                <w:rFonts w:asciiTheme="minorHAnsi" w:hAnsiTheme="minorHAnsi" w:cstheme="minorHAnsi"/>
                <w:b/>
              </w:rPr>
            </w:pPr>
            <w:r>
              <w:rPr>
                <w:rFonts w:asciiTheme="minorHAnsi" w:hAnsiTheme="minorHAnsi" w:cstheme="minorHAnsi"/>
                <w:b/>
              </w:rPr>
              <w:t>(30 week courses)</w:t>
            </w:r>
          </w:p>
        </w:tc>
        <w:tc>
          <w:tcPr>
            <w:tcW w:w="1322" w:type="dxa"/>
          </w:tcPr>
          <w:p w14:paraId="13DA0534" w14:textId="0A835841" w:rsidR="00B26B8D" w:rsidRDefault="0035641E" w:rsidP="003A7D4E">
            <w:pPr>
              <w:rPr>
                <w:rFonts w:asciiTheme="minorHAnsi" w:hAnsiTheme="minorHAnsi" w:cstheme="minorHAnsi"/>
                <w:b/>
              </w:rPr>
            </w:pPr>
            <w:r>
              <w:rPr>
                <w:rFonts w:asciiTheme="minorHAnsi" w:hAnsiTheme="minorHAnsi" w:cstheme="minorHAnsi"/>
                <w:b/>
              </w:rPr>
              <w:t>9</w:t>
            </w:r>
            <w:r w:rsidR="006A06B1">
              <w:rPr>
                <w:rFonts w:asciiTheme="minorHAnsi" w:hAnsiTheme="minorHAnsi" w:cstheme="minorHAnsi"/>
                <w:b/>
              </w:rPr>
              <w:t>5</w:t>
            </w:r>
          </w:p>
        </w:tc>
        <w:tc>
          <w:tcPr>
            <w:tcW w:w="1038" w:type="dxa"/>
          </w:tcPr>
          <w:p w14:paraId="13DA0535" w14:textId="4766665B" w:rsidR="00B26B8D" w:rsidRDefault="0035641E" w:rsidP="003A7D4E">
            <w:pPr>
              <w:rPr>
                <w:rFonts w:asciiTheme="minorHAnsi" w:hAnsiTheme="minorHAnsi" w:cstheme="minorHAnsi"/>
                <w:b/>
              </w:rPr>
            </w:pPr>
            <w:r>
              <w:rPr>
                <w:rFonts w:asciiTheme="minorHAnsi" w:hAnsiTheme="minorHAnsi" w:cstheme="minorHAnsi"/>
                <w:b/>
              </w:rPr>
              <w:t>8</w:t>
            </w:r>
            <w:r w:rsidR="00231FC0">
              <w:rPr>
                <w:rFonts w:asciiTheme="minorHAnsi" w:hAnsiTheme="minorHAnsi" w:cstheme="minorHAnsi"/>
                <w:b/>
              </w:rPr>
              <w:t>5</w:t>
            </w:r>
          </w:p>
        </w:tc>
        <w:tc>
          <w:tcPr>
            <w:tcW w:w="1449" w:type="dxa"/>
          </w:tcPr>
          <w:p w14:paraId="13DA0536" w14:textId="5CEB1BC6" w:rsidR="00B26B8D" w:rsidRDefault="00063F8A" w:rsidP="003A7D4E">
            <w:pPr>
              <w:rPr>
                <w:rFonts w:asciiTheme="minorHAnsi" w:hAnsiTheme="minorHAnsi" w:cstheme="minorHAnsi"/>
                <w:b/>
              </w:rPr>
            </w:pPr>
            <w:r>
              <w:rPr>
                <w:rFonts w:asciiTheme="minorHAnsi" w:hAnsiTheme="minorHAnsi" w:cstheme="minorHAnsi"/>
                <w:b/>
              </w:rPr>
              <w:t>29</w:t>
            </w:r>
            <w:r w:rsidR="00270559" w:rsidRPr="00270559">
              <w:rPr>
                <w:rFonts w:asciiTheme="minorHAnsi" w:hAnsiTheme="minorHAnsi" w:cstheme="minorHAnsi"/>
                <w:b/>
                <w:vertAlign w:val="superscript"/>
              </w:rPr>
              <w:t>th</w:t>
            </w:r>
            <w:r w:rsidR="00270559">
              <w:rPr>
                <w:rFonts w:asciiTheme="minorHAnsi" w:hAnsiTheme="minorHAnsi" w:cstheme="minorHAnsi"/>
                <w:b/>
              </w:rPr>
              <w:t xml:space="preserve"> Oct 20</w:t>
            </w:r>
            <w:r w:rsidR="00216F58">
              <w:rPr>
                <w:rFonts w:asciiTheme="minorHAnsi" w:hAnsiTheme="minorHAnsi" w:cstheme="minorHAnsi"/>
                <w:b/>
              </w:rPr>
              <w:t>23</w:t>
            </w:r>
          </w:p>
        </w:tc>
        <w:tc>
          <w:tcPr>
            <w:tcW w:w="1449" w:type="dxa"/>
          </w:tcPr>
          <w:p w14:paraId="13DA0537" w14:textId="77777777" w:rsidR="00B26B8D" w:rsidRDefault="00063F8A" w:rsidP="003A7D4E">
            <w:pPr>
              <w:rPr>
                <w:rFonts w:asciiTheme="minorHAnsi" w:hAnsiTheme="minorHAnsi" w:cstheme="minorHAnsi"/>
                <w:b/>
              </w:rPr>
            </w:pPr>
            <w:r>
              <w:rPr>
                <w:rFonts w:asciiTheme="minorHAnsi" w:hAnsiTheme="minorHAnsi" w:cstheme="minorHAnsi"/>
                <w:b/>
              </w:rPr>
              <w:t>36</w:t>
            </w:r>
          </w:p>
        </w:tc>
        <w:tc>
          <w:tcPr>
            <w:tcW w:w="1348" w:type="dxa"/>
          </w:tcPr>
          <w:p w14:paraId="13DA0538" w14:textId="1872CAD2" w:rsidR="00B26B8D" w:rsidRDefault="0035641E" w:rsidP="003A7D4E">
            <w:pPr>
              <w:rPr>
                <w:rFonts w:asciiTheme="minorHAnsi" w:hAnsiTheme="minorHAnsi" w:cstheme="minorHAnsi"/>
                <w:b/>
              </w:rPr>
            </w:pPr>
            <w:r>
              <w:rPr>
                <w:rFonts w:asciiTheme="minorHAnsi" w:hAnsiTheme="minorHAnsi" w:cstheme="minorHAnsi"/>
                <w:b/>
              </w:rPr>
              <w:t>1</w:t>
            </w:r>
            <w:r w:rsidR="00717D4F">
              <w:rPr>
                <w:rFonts w:asciiTheme="minorHAnsi" w:hAnsiTheme="minorHAnsi" w:cstheme="minorHAnsi"/>
                <w:b/>
              </w:rPr>
              <w:t>0</w:t>
            </w:r>
          </w:p>
        </w:tc>
        <w:tc>
          <w:tcPr>
            <w:tcW w:w="1309" w:type="dxa"/>
          </w:tcPr>
          <w:p w14:paraId="13DA0539" w14:textId="77777777" w:rsidR="00B26B8D" w:rsidRDefault="002A5844" w:rsidP="003A7D4E">
            <w:pPr>
              <w:rPr>
                <w:rFonts w:asciiTheme="minorHAnsi" w:hAnsiTheme="minorHAnsi" w:cstheme="minorHAnsi"/>
                <w:b/>
              </w:rPr>
            </w:pPr>
            <w:r>
              <w:rPr>
                <w:rFonts w:asciiTheme="minorHAnsi" w:hAnsiTheme="minorHAnsi" w:cstheme="minorHAnsi"/>
                <w:b/>
              </w:rPr>
              <w:t>1</w:t>
            </w:r>
            <w:r w:rsidR="00917589">
              <w:rPr>
                <w:rFonts w:asciiTheme="minorHAnsi" w:hAnsiTheme="minorHAnsi" w:cstheme="minorHAnsi"/>
                <w:b/>
              </w:rPr>
              <w:t xml:space="preserve"> </w:t>
            </w:r>
          </w:p>
        </w:tc>
      </w:tr>
      <w:tr w:rsidR="00B26B8D" w14:paraId="13DA0543" w14:textId="77777777" w:rsidTr="00BF023A">
        <w:tc>
          <w:tcPr>
            <w:tcW w:w="1345" w:type="dxa"/>
          </w:tcPr>
          <w:p w14:paraId="13DA053B" w14:textId="6AAA57EA" w:rsidR="00B26B8D" w:rsidRDefault="0001746F" w:rsidP="003A7D4E">
            <w:pPr>
              <w:rPr>
                <w:rFonts w:asciiTheme="minorHAnsi" w:hAnsiTheme="minorHAnsi" w:cstheme="minorHAnsi"/>
                <w:b/>
              </w:rPr>
            </w:pPr>
            <w:r>
              <w:rPr>
                <w:rFonts w:asciiTheme="minorHAnsi" w:hAnsiTheme="minorHAnsi" w:cstheme="minorHAnsi"/>
                <w:b/>
              </w:rPr>
              <w:t>1 Jan 20</w:t>
            </w:r>
            <w:r w:rsidR="00CB7968">
              <w:rPr>
                <w:rFonts w:asciiTheme="minorHAnsi" w:hAnsiTheme="minorHAnsi" w:cstheme="minorHAnsi"/>
                <w:b/>
              </w:rPr>
              <w:t>24</w:t>
            </w:r>
            <w:r w:rsidR="00D925AE">
              <w:rPr>
                <w:rFonts w:asciiTheme="minorHAnsi" w:hAnsiTheme="minorHAnsi" w:cstheme="minorHAnsi"/>
                <w:b/>
              </w:rPr>
              <w:t xml:space="preserve"> - </w:t>
            </w:r>
            <w:r>
              <w:rPr>
                <w:rFonts w:asciiTheme="minorHAnsi" w:hAnsiTheme="minorHAnsi" w:cstheme="minorHAnsi"/>
                <w:b/>
              </w:rPr>
              <w:t>31</w:t>
            </w:r>
            <w:r w:rsidRPr="0001746F">
              <w:rPr>
                <w:rFonts w:asciiTheme="minorHAnsi" w:hAnsiTheme="minorHAnsi" w:cstheme="minorHAnsi"/>
                <w:b/>
                <w:vertAlign w:val="superscript"/>
              </w:rPr>
              <w:t>st</w:t>
            </w:r>
            <w:r>
              <w:rPr>
                <w:rFonts w:asciiTheme="minorHAnsi" w:hAnsiTheme="minorHAnsi" w:cstheme="minorHAnsi"/>
                <w:b/>
              </w:rPr>
              <w:t xml:space="preserve"> May 20</w:t>
            </w:r>
            <w:r w:rsidR="00CB7968">
              <w:rPr>
                <w:rFonts w:asciiTheme="minorHAnsi" w:hAnsiTheme="minorHAnsi" w:cstheme="minorHAnsi"/>
                <w:b/>
              </w:rPr>
              <w:t>24</w:t>
            </w:r>
          </w:p>
          <w:p w14:paraId="13DA053C" w14:textId="77777777" w:rsidR="001E6CA3" w:rsidRDefault="001E6CA3" w:rsidP="003A7D4E">
            <w:pPr>
              <w:rPr>
                <w:rFonts w:asciiTheme="minorHAnsi" w:hAnsiTheme="minorHAnsi" w:cstheme="minorHAnsi"/>
                <w:b/>
              </w:rPr>
            </w:pPr>
            <w:r>
              <w:rPr>
                <w:rFonts w:asciiTheme="minorHAnsi" w:hAnsiTheme="minorHAnsi" w:cstheme="minorHAnsi"/>
                <w:b/>
              </w:rPr>
              <w:t>(30 week courses)</w:t>
            </w:r>
          </w:p>
        </w:tc>
        <w:tc>
          <w:tcPr>
            <w:tcW w:w="1322" w:type="dxa"/>
          </w:tcPr>
          <w:p w14:paraId="13DA053D" w14:textId="2CA40975" w:rsidR="00B26B8D" w:rsidRDefault="00D925AE" w:rsidP="003A7D4E">
            <w:pPr>
              <w:rPr>
                <w:rFonts w:asciiTheme="minorHAnsi" w:hAnsiTheme="minorHAnsi" w:cstheme="minorHAnsi"/>
                <w:b/>
              </w:rPr>
            </w:pPr>
            <w:r>
              <w:rPr>
                <w:rFonts w:asciiTheme="minorHAnsi" w:hAnsiTheme="minorHAnsi" w:cstheme="minorHAnsi"/>
                <w:b/>
              </w:rPr>
              <w:t>1</w:t>
            </w:r>
            <w:r w:rsidR="006A06B1">
              <w:rPr>
                <w:rFonts w:asciiTheme="minorHAnsi" w:hAnsiTheme="minorHAnsi" w:cstheme="minorHAnsi"/>
                <w:b/>
              </w:rPr>
              <w:t>47</w:t>
            </w:r>
          </w:p>
        </w:tc>
        <w:tc>
          <w:tcPr>
            <w:tcW w:w="1038" w:type="dxa"/>
          </w:tcPr>
          <w:p w14:paraId="13DA053E" w14:textId="2426F406" w:rsidR="00B26B8D" w:rsidRDefault="00F0148F" w:rsidP="003A7D4E">
            <w:pPr>
              <w:rPr>
                <w:rFonts w:asciiTheme="minorHAnsi" w:hAnsiTheme="minorHAnsi" w:cstheme="minorHAnsi"/>
                <w:b/>
              </w:rPr>
            </w:pPr>
            <w:r>
              <w:rPr>
                <w:rFonts w:asciiTheme="minorHAnsi" w:hAnsiTheme="minorHAnsi" w:cstheme="minorHAnsi"/>
                <w:b/>
              </w:rPr>
              <w:t>10</w:t>
            </w:r>
            <w:r w:rsidR="00231FC0">
              <w:rPr>
                <w:rFonts w:asciiTheme="minorHAnsi" w:hAnsiTheme="minorHAnsi" w:cstheme="minorHAnsi"/>
                <w:b/>
              </w:rPr>
              <w:t>4</w:t>
            </w:r>
          </w:p>
        </w:tc>
        <w:tc>
          <w:tcPr>
            <w:tcW w:w="1449" w:type="dxa"/>
          </w:tcPr>
          <w:p w14:paraId="13DA053F" w14:textId="53197A14" w:rsidR="00B26B8D" w:rsidRDefault="00622B22" w:rsidP="003A7D4E">
            <w:pPr>
              <w:rPr>
                <w:rFonts w:asciiTheme="minorHAnsi" w:hAnsiTheme="minorHAnsi" w:cstheme="minorHAnsi"/>
                <w:b/>
              </w:rPr>
            </w:pPr>
            <w:r>
              <w:rPr>
                <w:rFonts w:asciiTheme="minorHAnsi" w:hAnsiTheme="minorHAnsi" w:cstheme="minorHAnsi"/>
                <w:b/>
              </w:rPr>
              <w:t>9</w:t>
            </w:r>
            <w:r w:rsidRPr="00622B22">
              <w:rPr>
                <w:rFonts w:asciiTheme="minorHAnsi" w:hAnsiTheme="minorHAnsi" w:cstheme="minorHAnsi"/>
                <w:b/>
                <w:vertAlign w:val="superscript"/>
              </w:rPr>
              <w:t>th</w:t>
            </w:r>
            <w:r>
              <w:rPr>
                <w:rFonts w:asciiTheme="minorHAnsi" w:hAnsiTheme="minorHAnsi" w:cstheme="minorHAnsi"/>
                <w:b/>
              </w:rPr>
              <w:t xml:space="preserve"> Apr </w:t>
            </w:r>
            <w:r w:rsidR="00F0148F">
              <w:rPr>
                <w:rFonts w:asciiTheme="minorHAnsi" w:hAnsiTheme="minorHAnsi" w:cstheme="minorHAnsi"/>
                <w:b/>
              </w:rPr>
              <w:t>20</w:t>
            </w:r>
            <w:r w:rsidR="00CB7968">
              <w:rPr>
                <w:rFonts w:asciiTheme="minorHAnsi" w:hAnsiTheme="minorHAnsi" w:cstheme="minorHAnsi"/>
                <w:b/>
              </w:rPr>
              <w:t>24</w:t>
            </w:r>
          </w:p>
        </w:tc>
        <w:tc>
          <w:tcPr>
            <w:tcW w:w="1449" w:type="dxa"/>
          </w:tcPr>
          <w:p w14:paraId="13DA0540" w14:textId="77777777" w:rsidR="00B26B8D" w:rsidRDefault="00622B22" w:rsidP="003A7D4E">
            <w:pPr>
              <w:rPr>
                <w:rFonts w:asciiTheme="minorHAnsi" w:hAnsiTheme="minorHAnsi" w:cstheme="minorHAnsi"/>
                <w:b/>
              </w:rPr>
            </w:pPr>
            <w:r>
              <w:rPr>
                <w:rFonts w:asciiTheme="minorHAnsi" w:hAnsiTheme="minorHAnsi" w:cstheme="minorHAnsi"/>
                <w:b/>
              </w:rPr>
              <w:t>94</w:t>
            </w:r>
          </w:p>
        </w:tc>
        <w:tc>
          <w:tcPr>
            <w:tcW w:w="1348" w:type="dxa"/>
          </w:tcPr>
          <w:p w14:paraId="13DA0541" w14:textId="31D732FC" w:rsidR="00B26B8D" w:rsidRDefault="00F0148F" w:rsidP="003A7D4E">
            <w:pPr>
              <w:rPr>
                <w:rFonts w:asciiTheme="minorHAnsi" w:hAnsiTheme="minorHAnsi" w:cstheme="minorHAnsi"/>
                <w:b/>
              </w:rPr>
            </w:pPr>
            <w:r>
              <w:rPr>
                <w:rFonts w:asciiTheme="minorHAnsi" w:hAnsiTheme="minorHAnsi" w:cstheme="minorHAnsi"/>
                <w:b/>
              </w:rPr>
              <w:t>4</w:t>
            </w:r>
            <w:r w:rsidR="00717D4F">
              <w:rPr>
                <w:rFonts w:asciiTheme="minorHAnsi" w:hAnsiTheme="minorHAnsi" w:cstheme="minorHAnsi"/>
                <w:b/>
              </w:rPr>
              <w:t>3</w:t>
            </w:r>
          </w:p>
        </w:tc>
        <w:tc>
          <w:tcPr>
            <w:tcW w:w="1309" w:type="dxa"/>
          </w:tcPr>
          <w:p w14:paraId="13DA0542" w14:textId="77777777" w:rsidR="00B26B8D" w:rsidRDefault="002A5844" w:rsidP="003A7D4E">
            <w:pPr>
              <w:rPr>
                <w:rFonts w:asciiTheme="minorHAnsi" w:hAnsiTheme="minorHAnsi" w:cstheme="minorHAnsi"/>
                <w:b/>
              </w:rPr>
            </w:pPr>
            <w:r>
              <w:rPr>
                <w:rFonts w:asciiTheme="minorHAnsi" w:hAnsiTheme="minorHAnsi" w:cstheme="minorHAnsi"/>
                <w:b/>
              </w:rPr>
              <w:t>2</w:t>
            </w:r>
          </w:p>
        </w:tc>
      </w:tr>
      <w:tr w:rsidR="001E6CA3" w14:paraId="13DA054C" w14:textId="77777777" w:rsidTr="00BF023A">
        <w:tc>
          <w:tcPr>
            <w:tcW w:w="1345" w:type="dxa"/>
          </w:tcPr>
          <w:p w14:paraId="13DA0544" w14:textId="33F8E2F4" w:rsidR="001E6CA3" w:rsidRDefault="00E30CCB" w:rsidP="001E6CA3">
            <w:pPr>
              <w:rPr>
                <w:rFonts w:asciiTheme="minorHAnsi" w:hAnsiTheme="minorHAnsi" w:cstheme="minorHAnsi"/>
                <w:b/>
              </w:rPr>
            </w:pPr>
            <w:r>
              <w:rPr>
                <w:rFonts w:asciiTheme="minorHAnsi" w:hAnsiTheme="minorHAnsi" w:cstheme="minorHAnsi"/>
                <w:b/>
              </w:rPr>
              <w:t>24</w:t>
            </w:r>
            <w:r w:rsidR="001E6CA3" w:rsidRPr="00B26B8D">
              <w:rPr>
                <w:rFonts w:asciiTheme="minorHAnsi" w:hAnsiTheme="minorHAnsi" w:cstheme="minorHAnsi"/>
                <w:b/>
                <w:vertAlign w:val="superscript"/>
              </w:rPr>
              <w:t>th</w:t>
            </w:r>
            <w:r w:rsidR="001E6CA3">
              <w:rPr>
                <w:rFonts w:asciiTheme="minorHAnsi" w:hAnsiTheme="minorHAnsi" w:cstheme="minorHAnsi"/>
                <w:b/>
              </w:rPr>
              <w:t xml:space="preserve"> Sep 20</w:t>
            </w:r>
            <w:r w:rsidR="00CB7968">
              <w:rPr>
                <w:rFonts w:asciiTheme="minorHAnsi" w:hAnsiTheme="minorHAnsi" w:cstheme="minorHAnsi"/>
                <w:b/>
              </w:rPr>
              <w:t>23</w:t>
            </w:r>
            <w:r w:rsidR="001E6CA3">
              <w:rPr>
                <w:rFonts w:asciiTheme="minorHAnsi" w:hAnsiTheme="minorHAnsi" w:cstheme="minorHAnsi"/>
                <w:b/>
              </w:rPr>
              <w:t xml:space="preserve"> </w:t>
            </w:r>
            <w:r>
              <w:rPr>
                <w:rFonts w:asciiTheme="minorHAnsi" w:hAnsiTheme="minorHAnsi" w:cstheme="minorHAnsi"/>
                <w:b/>
              </w:rPr>
              <w:t>– 8</w:t>
            </w:r>
            <w:r w:rsidRPr="00E30CCB">
              <w:rPr>
                <w:rFonts w:asciiTheme="minorHAnsi" w:hAnsiTheme="minorHAnsi" w:cstheme="minorHAnsi"/>
                <w:b/>
                <w:vertAlign w:val="superscript"/>
              </w:rPr>
              <w:t>th</w:t>
            </w:r>
            <w:r>
              <w:rPr>
                <w:rFonts w:asciiTheme="minorHAnsi" w:hAnsiTheme="minorHAnsi" w:cstheme="minorHAnsi"/>
                <w:b/>
              </w:rPr>
              <w:t xml:space="preserve"> Mar 20</w:t>
            </w:r>
            <w:r w:rsidR="00A70398">
              <w:rPr>
                <w:rFonts w:asciiTheme="minorHAnsi" w:hAnsiTheme="minorHAnsi" w:cstheme="minorHAnsi"/>
                <w:b/>
              </w:rPr>
              <w:t>24</w:t>
            </w:r>
          </w:p>
          <w:p w14:paraId="13DA0545" w14:textId="77777777" w:rsidR="001E6CA3" w:rsidRDefault="001E6CA3" w:rsidP="001E6CA3">
            <w:pPr>
              <w:rPr>
                <w:rFonts w:asciiTheme="minorHAnsi" w:hAnsiTheme="minorHAnsi" w:cstheme="minorHAnsi"/>
                <w:b/>
              </w:rPr>
            </w:pPr>
            <w:r>
              <w:rPr>
                <w:rFonts w:asciiTheme="minorHAnsi" w:hAnsiTheme="minorHAnsi" w:cstheme="minorHAnsi"/>
                <w:b/>
              </w:rPr>
              <w:t>(45 week PG courses)</w:t>
            </w:r>
          </w:p>
        </w:tc>
        <w:tc>
          <w:tcPr>
            <w:tcW w:w="1322" w:type="dxa"/>
          </w:tcPr>
          <w:p w14:paraId="13DA0546" w14:textId="0A6F844E" w:rsidR="001E6CA3" w:rsidRDefault="00E30CCB" w:rsidP="003A7D4E">
            <w:pPr>
              <w:rPr>
                <w:rFonts w:asciiTheme="minorHAnsi" w:hAnsiTheme="minorHAnsi" w:cstheme="minorHAnsi"/>
                <w:b/>
              </w:rPr>
            </w:pPr>
            <w:r>
              <w:rPr>
                <w:rFonts w:asciiTheme="minorHAnsi" w:hAnsiTheme="minorHAnsi" w:cstheme="minorHAnsi"/>
                <w:b/>
              </w:rPr>
              <w:t>1</w:t>
            </w:r>
            <w:r w:rsidR="006A06B1">
              <w:rPr>
                <w:rFonts w:asciiTheme="minorHAnsi" w:hAnsiTheme="minorHAnsi" w:cstheme="minorHAnsi"/>
                <w:b/>
              </w:rPr>
              <w:t>54</w:t>
            </w:r>
          </w:p>
        </w:tc>
        <w:tc>
          <w:tcPr>
            <w:tcW w:w="1038" w:type="dxa"/>
          </w:tcPr>
          <w:p w14:paraId="13DA0547" w14:textId="21A4AE4C" w:rsidR="001E6CA3" w:rsidRDefault="008655B3" w:rsidP="003A7D4E">
            <w:pPr>
              <w:rPr>
                <w:rFonts w:asciiTheme="minorHAnsi" w:hAnsiTheme="minorHAnsi" w:cstheme="minorHAnsi"/>
                <w:b/>
              </w:rPr>
            </w:pPr>
            <w:r>
              <w:rPr>
                <w:rFonts w:asciiTheme="minorHAnsi" w:hAnsiTheme="minorHAnsi" w:cstheme="minorHAnsi"/>
                <w:b/>
              </w:rPr>
              <w:t>1</w:t>
            </w:r>
            <w:r w:rsidR="00231FC0">
              <w:rPr>
                <w:rFonts w:asciiTheme="minorHAnsi" w:hAnsiTheme="minorHAnsi" w:cstheme="minorHAnsi"/>
                <w:b/>
              </w:rPr>
              <w:t>39</w:t>
            </w:r>
          </w:p>
        </w:tc>
        <w:tc>
          <w:tcPr>
            <w:tcW w:w="1449" w:type="dxa"/>
          </w:tcPr>
          <w:p w14:paraId="13DA0548" w14:textId="78773B09" w:rsidR="001E6CA3" w:rsidRDefault="00A25B04" w:rsidP="00A25B04">
            <w:pPr>
              <w:rPr>
                <w:rFonts w:asciiTheme="minorHAnsi" w:hAnsiTheme="minorHAnsi" w:cstheme="minorHAnsi"/>
                <w:b/>
              </w:rPr>
            </w:pPr>
            <w:r>
              <w:rPr>
                <w:rFonts w:asciiTheme="minorHAnsi" w:hAnsiTheme="minorHAnsi" w:cstheme="minorHAnsi"/>
                <w:b/>
              </w:rPr>
              <w:t>30</w:t>
            </w:r>
            <w:r w:rsidRPr="00A25B04">
              <w:rPr>
                <w:rFonts w:asciiTheme="minorHAnsi" w:hAnsiTheme="minorHAnsi" w:cstheme="minorHAnsi"/>
                <w:b/>
                <w:vertAlign w:val="superscript"/>
              </w:rPr>
              <w:t>th</w:t>
            </w:r>
            <w:r>
              <w:rPr>
                <w:rFonts w:asciiTheme="minorHAnsi" w:hAnsiTheme="minorHAnsi" w:cstheme="minorHAnsi"/>
                <w:b/>
              </w:rPr>
              <w:t xml:space="preserve"> Nov 20</w:t>
            </w:r>
            <w:r w:rsidR="005735B6">
              <w:rPr>
                <w:rFonts w:asciiTheme="minorHAnsi" w:hAnsiTheme="minorHAnsi" w:cstheme="minorHAnsi"/>
                <w:b/>
              </w:rPr>
              <w:t>23</w:t>
            </w:r>
          </w:p>
        </w:tc>
        <w:tc>
          <w:tcPr>
            <w:tcW w:w="1449" w:type="dxa"/>
          </w:tcPr>
          <w:p w14:paraId="13DA0549" w14:textId="77777777" w:rsidR="001E6CA3" w:rsidRDefault="00A25B04" w:rsidP="003A7D4E">
            <w:pPr>
              <w:rPr>
                <w:rFonts w:asciiTheme="minorHAnsi" w:hAnsiTheme="minorHAnsi" w:cstheme="minorHAnsi"/>
                <w:b/>
              </w:rPr>
            </w:pPr>
            <w:r>
              <w:rPr>
                <w:rFonts w:asciiTheme="minorHAnsi" w:hAnsiTheme="minorHAnsi" w:cstheme="minorHAnsi"/>
                <w:b/>
              </w:rPr>
              <w:t>68</w:t>
            </w:r>
          </w:p>
        </w:tc>
        <w:tc>
          <w:tcPr>
            <w:tcW w:w="1348" w:type="dxa"/>
          </w:tcPr>
          <w:p w14:paraId="13DA054A" w14:textId="4F879451" w:rsidR="001E6CA3" w:rsidRDefault="00E30CCB" w:rsidP="003A7D4E">
            <w:pPr>
              <w:rPr>
                <w:rFonts w:asciiTheme="minorHAnsi" w:hAnsiTheme="minorHAnsi" w:cstheme="minorHAnsi"/>
                <w:b/>
              </w:rPr>
            </w:pPr>
            <w:r>
              <w:rPr>
                <w:rFonts w:asciiTheme="minorHAnsi" w:hAnsiTheme="minorHAnsi" w:cstheme="minorHAnsi"/>
                <w:b/>
              </w:rPr>
              <w:t>1</w:t>
            </w:r>
            <w:r w:rsidR="00717D4F">
              <w:rPr>
                <w:rFonts w:asciiTheme="minorHAnsi" w:hAnsiTheme="minorHAnsi" w:cstheme="minorHAnsi"/>
                <w:b/>
              </w:rPr>
              <w:t>5</w:t>
            </w:r>
          </w:p>
        </w:tc>
        <w:tc>
          <w:tcPr>
            <w:tcW w:w="1309" w:type="dxa"/>
          </w:tcPr>
          <w:p w14:paraId="13DA054B" w14:textId="77777777" w:rsidR="001E6CA3" w:rsidRDefault="00E30CCB" w:rsidP="003A7D4E">
            <w:pPr>
              <w:rPr>
                <w:rFonts w:asciiTheme="minorHAnsi" w:hAnsiTheme="minorHAnsi" w:cstheme="minorHAnsi"/>
                <w:b/>
              </w:rPr>
            </w:pPr>
            <w:r>
              <w:rPr>
                <w:rFonts w:asciiTheme="minorHAnsi" w:hAnsiTheme="minorHAnsi" w:cstheme="minorHAnsi"/>
                <w:b/>
              </w:rPr>
              <w:t>1</w:t>
            </w:r>
          </w:p>
        </w:tc>
      </w:tr>
      <w:tr w:rsidR="001E6CA3" w14:paraId="13DA0555" w14:textId="77777777" w:rsidTr="00BF023A">
        <w:tc>
          <w:tcPr>
            <w:tcW w:w="1345" w:type="dxa"/>
          </w:tcPr>
          <w:p w14:paraId="13DA054D" w14:textId="40F4AA26" w:rsidR="001E6CA3" w:rsidRDefault="00E30CCB" w:rsidP="001E6CA3">
            <w:pPr>
              <w:rPr>
                <w:rFonts w:asciiTheme="minorHAnsi" w:hAnsiTheme="minorHAnsi" w:cstheme="minorHAnsi"/>
                <w:b/>
              </w:rPr>
            </w:pPr>
            <w:r>
              <w:rPr>
                <w:rFonts w:asciiTheme="minorHAnsi" w:hAnsiTheme="minorHAnsi" w:cstheme="minorHAnsi"/>
                <w:b/>
              </w:rPr>
              <w:t>9</w:t>
            </w:r>
            <w:r w:rsidRPr="00E30CCB">
              <w:rPr>
                <w:rFonts w:asciiTheme="minorHAnsi" w:hAnsiTheme="minorHAnsi" w:cstheme="minorHAnsi"/>
                <w:b/>
                <w:vertAlign w:val="superscript"/>
              </w:rPr>
              <w:t>th</w:t>
            </w:r>
            <w:r>
              <w:rPr>
                <w:rFonts w:asciiTheme="minorHAnsi" w:hAnsiTheme="minorHAnsi" w:cstheme="minorHAnsi"/>
                <w:b/>
              </w:rPr>
              <w:t xml:space="preserve"> Mar</w:t>
            </w:r>
            <w:r w:rsidR="001E6CA3">
              <w:rPr>
                <w:rFonts w:asciiTheme="minorHAnsi" w:hAnsiTheme="minorHAnsi" w:cstheme="minorHAnsi"/>
                <w:b/>
              </w:rPr>
              <w:t xml:space="preserve"> 20</w:t>
            </w:r>
            <w:r w:rsidR="00A70398">
              <w:rPr>
                <w:rFonts w:asciiTheme="minorHAnsi" w:hAnsiTheme="minorHAnsi" w:cstheme="minorHAnsi"/>
                <w:b/>
              </w:rPr>
              <w:t>24</w:t>
            </w:r>
            <w:r w:rsidR="001E6CA3">
              <w:rPr>
                <w:rFonts w:asciiTheme="minorHAnsi" w:hAnsiTheme="minorHAnsi" w:cstheme="minorHAnsi"/>
                <w:b/>
              </w:rPr>
              <w:t xml:space="preserve"> - 31</w:t>
            </w:r>
            <w:r w:rsidR="001E6CA3" w:rsidRPr="0001746F">
              <w:rPr>
                <w:rFonts w:asciiTheme="minorHAnsi" w:hAnsiTheme="minorHAnsi" w:cstheme="minorHAnsi"/>
                <w:b/>
                <w:vertAlign w:val="superscript"/>
              </w:rPr>
              <w:t>st</w:t>
            </w:r>
            <w:r w:rsidR="008655B3">
              <w:rPr>
                <w:rFonts w:asciiTheme="minorHAnsi" w:hAnsiTheme="minorHAnsi" w:cstheme="minorHAnsi"/>
                <w:b/>
              </w:rPr>
              <w:t xml:space="preserve"> Aug</w:t>
            </w:r>
            <w:r w:rsidR="001E6CA3">
              <w:rPr>
                <w:rFonts w:asciiTheme="minorHAnsi" w:hAnsiTheme="minorHAnsi" w:cstheme="minorHAnsi"/>
                <w:b/>
              </w:rPr>
              <w:t xml:space="preserve"> 20</w:t>
            </w:r>
            <w:r w:rsidR="00A70398">
              <w:rPr>
                <w:rFonts w:asciiTheme="minorHAnsi" w:hAnsiTheme="minorHAnsi" w:cstheme="minorHAnsi"/>
                <w:b/>
              </w:rPr>
              <w:t>24</w:t>
            </w:r>
          </w:p>
          <w:p w14:paraId="13DA054E" w14:textId="77777777" w:rsidR="001E6CA3" w:rsidRDefault="001E6CA3" w:rsidP="001E6CA3">
            <w:pPr>
              <w:rPr>
                <w:rFonts w:asciiTheme="minorHAnsi" w:hAnsiTheme="minorHAnsi" w:cstheme="minorHAnsi"/>
                <w:b/>
              </w:rPr>
            </w:pPr>
            <w:r>
              <w:rPr>
                <w:rFonts w:asciiTheme="minorHAnsi" w:hAnsiTheme="minorHAnsi" w:cstheme="minorHAnsi"/>
                <w:b/>
              </w:rPr>
              <w:t>(45 week PG courses)</w:t>
            </w:r>
          </w:p>
        </w:tc>
        <w:tc>
          <w:tcPr>
            <w:tcW w:w="1322" w:type="dxa"/>
          </w:tcPr>
          <w:p w14:paraId="13DA054F" w14:textId="129D252C" w:rsidR="001E6CA3" w:rsidRDefault="008655B3" w:rsidP="003A7D4E">
            <w:pPr>
              <w:rPr>
                <w:rFonts w:asciiTheme="minorHAnsi" w:hAnsiTheme="minorHAnsi" w:cstheme="minorHAnsi"/>
                <w:b/>
              </w:rPr>
            </w:pPr>
            <w:r>
              <w:rPr>
                <w:rFonts w:asciiTheme="minorHAnsi" w:hAnsiTheme="minorHAnsi" w:cstheme="minorHAnsi"/>
                <w:b/>
              </w:rPr>
              <w:t>17</w:t>
            </w:r>
            <w:r w:rsidR="006A06B1">
              <w:rPr>
                <w:rFonts w:asciiTheme="minorHAnsi" w:hAnsiTheme="minorHAnsi" w:cstheme="minorHAnsi"/>
                <w:b/>
              </w:rPr>
              <w:t>6</w:t>
            </w:r>
          </w:p>
        </w:tc>
        <w:tc>
          <w:tcPr>
            <w:tcW w:w="1038" w:type="dxa"/>
          </w:tcPr>
          <w:p w14:paraId="13DA0550" w14:textId="6A0766A6" w:rsidR="001E6CA3" w:rsidRDefault="006E304B" w:rsidP="003A7D4E">
            <w:pPr>
              <w:rPr>
                <w:rFonts w:asciiTheme="minorHAnsi" w:hAnsiTheme="minorHAnsi" w:cstheme="minorHAnsi"/>
                <w:b/>
              </w:rPr>
            </w:pPr>
            <w:r>
              <w:rPr>
                <w:rFonts w:asciiTheme="minorHAnsi" w:hAnsiTheme="minorHAnsi" w:cstheme="minorHAnsi"/>
                <w:b/>
              </w:rPr>
              <w:t>1</w:t>
            </w:r>
            <w:r w:rsidR="00231FC0">
              <w:rPr>
                <w:rFonts w:asciiTheme="minorHAnsi" w:hAnsiTheme="minorHAnsi" w:cstheme="minorHAnsi"/>
                <w:b/>
              </w:rPr>
              <w:t>56</w:t>
            </w:r>
          </w:p>
        </w:tc>
        <w:tc>
          <w:tcPr>
            <w:tcW w:w="1449" w:type="dxa"/>
          </w:tcPr>
          <w:p w14:paraId="13DA0551" w14:textId="7573D77F" w:rsidR="001E6CA3" w:rsidRDefault="00A25B04" w:rsidP="003A7D4E">
            <w:pPr>
              <w:rPr>
                <w:rFonts w:asciiTheme="minorHAnsi" w:hAnsiTheme="minorHAnsi" w:cstheme="minorHAnsi"/>
                <w:b/>
              </w:rPr>
            </w:pPr>
            <w:r>
              <w:rPr>
                <w:rFonts w:asciiTheme="minorHAnsi" w:hAnsiTheme="minorHAnsi" w:cstheme="minorHAnsi"/>
                <w:b/>
              </w:rPr>
              <w:t>26</w:t>
            </w:r>
            <w:r w:rsidRPr="00A25B04">
              <w:rPr>
                <w:rFonts w:asciiTheme="minorHAnsi" w:hAnsiTheme="minorHAnsi" w:cstheme="minorHAnsi"/>
                <w:b/>
                <w:vertAlign w:val="superscript"/>
              </w:rPr>
              <w:t>th</w:t>
            </w:r>
            <w:r>
              <w:rPr>
                <w:rFonts w:asciiTheme="minorHAnsi" w:hAnsiTheme="minorHAnsi" w:cstheme="minorHAnsi"/>
                <w:b/>
              </w:rPr>
              <w:t xml:space="preserve"> July 20</w:t>
            </w:r>
            <w:r w:rsidR="005735B6">
              <w:rPr>
                <w:rFonts w:asciiTheme="minorHAnsi" w:hAnsiTheme="minorHAnsi" w:cstheme="minorHAnsi"/>
                <w:b/>
              </w:rPr>
              <w:t>24</w:t>
            </w:r>
          </w:p>
        </w:tc>
        <w:tc>
          <w:tcPr>
            <w:tcW w:w="1449" w:type="dxa"/>
          </w:tcPr>
          <w:p w14:paraId="13DA0552" w14:textId="77777777" w:rsidR="001E6CA3" w:rsidRDefault="00A25B04" w:rsidP="003A7D4E">
            <w:pPr>
              <w:rPr>
                <w:rFonts w:asciiTheme="minorHAnsi" w:hAnsiTheme="minorHAnsi" w:cstheme="minorHAnsi"/>
                <w:b/>
              </w:rPr>
            </w:pPr>
            <w:r>
              <w:rPr>
                <w:rFonts w:asciiTheme="minorHAnsi" w:hAnsiTheme="minorHAnsi" w:cstheme="minorHAnsi"/>
                <w:b/>
              </w:rPr>
              <w:t>140</w:t>
            </w:r>
          </w:p>
        </w:tc>
        <w:tc>
          <w:tcPr>
            <w:tcW w:w="1348" w:type="dxa"/>
          </w:tcPr>
          <w:p w14:paraId="13DA0553" w14:textId="5688D9DF" w:rsidR="001E6CA3" w:rsidRDefault="00717D4F" w:rsidP="003A7D4E">
            <w:pPr>
              <w:rPr>
                <w:rFonts w:asciiTheme="minorHAnsi" w:hAnsiTheme="minorHAnsi" w:cstheme="minorHAnsi"/>
                <w:b/>
              </w:rPr>
            </w:pPr>
            <w:r>
              <w:rPr>
                <w:rFonts w:asciiTheme="minorHAnsi" w:hAnsiTheme="minorHAnsi" w:cstheme="minorHAnsi"/>
                <w:b/>
              </w:rPr>
              <w:t>20</w:t>
            </w:r>
          </w:p>
        </w:tc>
        <w:tc>
          <w:tcPr>
            <w:tcW w:w="1309" w:type="dxa"/>
          </w:tcPr>
          <w:p w14:paraId="13DA0554" w14:textId="77777777" w:rsidR="001E6CA3" w:rsidRDefault="00E30CCB" w:rsidP="003A7D4E">
            <w:pPr>
              <w:rPr>
                <w:rFonts w:asciiTheme="minorHAnsi" w:hAnsiTheme="minorHAnsi" w:cstheme="minorHAnsi"/>
                <w:b/>
              </w:rPr>
            </w:pPr>
            <w:r>
              <w:rPr>
                <w:rFonts w:asciiTheme="minorHAnsi" w:hAnsiTheme="minorHAnsi" w:cstheme="minorHAnsi"/>
                <w:b/>
              </w:rPr>
              <w:t>2</w:t>
            </w:r>
          </w:p>
        </w:tc>
      </w:tr>
    </w:tbl>
    <w:p w14:paraId="13DA0556" w14:textId="77777777" w:rsidR="00BF023A" w:rsidRDefault="00BF023A" w:rsidP="00063F8A">
      <w:pPr>
        <w:ind w:left="119"/>
        <w:rPr>
          <w:rFonts w:asciiTheme="minorHAnsi" w:hAnsiTheme="minorHAnsi" w:cstheme="minorHAnsi"/>
        </w:rPr>
      </w:pPr>
    </w:p>
    <w:p w14:paraId="13DA0557" w14:textId="77777777" w:rsidR="00BF023A" w:rsidRDefault="00BF023A" w:rsidP="00063F8A">
      <w:pPr>
        <w:ind w:left="119"/>
        <w:rPr>
          <w:rFonts w:asciiTheme="minorHAnsi" w:hAnsiTheme="minorHAnsi" w:cstheme="minorHAnsi"/>
        </w:rPr>
      </w:pPr>
    </w:p>
    <w:p w14:paraId="13DA0558" w14:textId="77777777" w:rsidR="00F0148F" w:rsidRDefault="00063F8A" w:rsidP="00063F8A">
      <w:pPr>
        <w:ind w:left="119"/>
        <w:rPr>
          <w:rFonts w:asciiTheme="minorHAnsi" w:hAnsiTheme="minorHAnsi" w:cstheme="minorHAnsi"/>
        </w:rPr>
      </w:pPr>
      <w:r w:rsidRPr="00063F8A">
        <w:rPr>
          <w:rFonts w:asciiTheme="minorHAnsi" w:hAnsiTheme="minorHAnsi" w:cstheme="minorHAnsi"/>
        </w:rPr>
        <w:t>Non study days are counted as breaks of 5 or more consecutive days, weekends and bank holidays are calculated as study days for R2T4 calculation. Also, the date of withdrawal is calculated as a completed day.</w:t>
      </w:r>
    </w:p>
    <w:p w14:paraId="13DA0559" w14:textId="77777777" w:rsidR="00917589" w:rsidRDefault="00917589" w:rsidP="00063F8A">
      <w:pPr>
        <w:ind w:left="119"/>
        <w:rPr>
          <w:rFonts w:asciiTheme="minorHAnsi" w:hAnsiTheme="minorHAnsi" w:cstheme="minorHAnsi"/>
        </w:rPr>
      </w:pPr>
    </w:p>
    <w:p w14:paraId="13DA055A" w14:textId="56242BD3" w:rsidR="00917589" w:rsidRDefault="00917589" w:rsidP="00063F8A">
      <w:pPr>
        <w:ind w:left="119"/>
        <w:rPr>
          <w:rFonts w:asciiTheme="minorHAnsi" w:hAnsiTheme="minorHAnsi" w:cstheme="minorHAnsi"/>
        </w:rPr>
      </w:pPr>
      <w:r>
        <w:rPr>
          <w:rFonts w:asciiTheme="minorHAnsi" w:hAnsiTheme="minorHAnsi" w:cstheme="minorHAnsi"/>
        </w:rPr>
        <w:t xml:space="preserve">The </w:t>
      </w:r>
      <w:r w:rsidR="008F5A68">
        <w:rPr>
          <w:rFonts w:asciiTheme="minorHAnsi" w:hAnsiTheme="minorHAnsi" w:cstheme="minorHAnsi"/>
        </w:rPr>
        <w:t xml:space="preserve">30 week </w:t>
      </w:r>
      <w:r>
        <w:rPr>
          <w:rFonts w:asciiTheme="minorHAnsi" w:hAnsiTheme="minorHAnsi" w:cstheme="minorHAnsi"/>
        </w:rPr>
        <w:t xml:space="preserve">example in </w:t>
      </w:r>
      <w:r w:rsidRPr="00BF023A">
        <w:rPr>
          <w:rFonts w:asciiTheme="minorHAnsi" w:hAnsiTheme="minorHAnsi" w:cstheme="minorHAnsi"/>
          <w:b/>
        </w:rPr>
        <w:t>loan period 1</w:t>
      </w:r>
      <w:r>
        <w:rPr>
          <w:rFonts w:asciiTheme="minorHAnsi" w:hAnsiTheme="minorHAnsi" w:cstheme="minorHAnsi"/>
        </w:rPr>
        <w:t xml:space="preserve"> shows a student that withdraws on the 29</w:t>
      </w:r>
      <w:r w:rsidRPr="00917589">
        <w:rPr>
          <w:rFonts w:asciiTheme="minorHAnsi" w:hAnsiTheme="minorHAnsi" w:cstheme="minorHAnsi"/>
          <w:vertAlign w:val="superscript"/>
        </w:rPr>
        <w:t>th</w:t>
      </w:r>
      <w:r>
        <w:rPr>
          <w:rFonts w:asciiTheme="minorHAnsi" w:hAnsiTheme="minorHAnsi" w:cstheme="minorHAnsi"/>
        </w:rPr>
        <w:t xml:space="preserve"> October 20</w:t>
      </w:r>
      <w:r w:rsidR="0086486F">
        <w:rPr>
          <w:rFonts w:asciiTheme="minorHAnsi" w:hAnsiTheme="minorHAnsi" w:cstheme="minorHAnsi"/>
        </w:rPr>
        <w:t>23</w:t>
      </w:r>
      <w:r>
        <w:rPr>
          <w:rFonts w:asciiTheme="minorHAnsi" w:hAnsiTheme="minorHAnsi" w:cstheme="minorHAnsi"/>
        </w:rPr>
        <w:t xml:space="preserve"> has earned less than 60% (using the standard R2T4 formula</w:t>
      </w:r>
      <w:r w:rsidR="00297E88">
        <w:rPr>
          <w:rFonts w:asciiTheme="minorHAnsi" w:hAnsiTheme="minorHAnsi" w:cstheme="minorHAnsi"/>
        </w:rPr>
        <w:t>) 36 / 9</w:t>
      </w:r>
      <w:r w:rsidR="000007F8">
        <w:rPr>
          <w:rFonts w:asciiTheme="minorHAnsi" w:hAnsiTheme="minorHAnsi" w:cstheme="minorHAnsi"/>
        </w:rPr>
        <w:t>5</w:t>
      </w:r>
      <w:r w:rsidR="00297E88">
        <w:rPr>
          <w:rFonts w:asciiTheme="minorHAnsi" w:hAnsiTheme="minorHAnsi" w:cstheme="minorHAnsi"/>
        </w:rPr>
        <w:t xml:space="preserve"> = 3</w:t>
      </w:r>
      <w:r w:rsidR="00364A7A">
        <w:rPr>
          <w:rFonts w:asciiTheme="minorHAnsi" w:hAnsiTheme="minorHAnsi" w:cstheme="minorHAnsi"/>
        </w:rPr>
        <w:t>8</w:t>
      </w:r>
      <w:r w:rsidR="00297E88">
        <w:rPr>
          <w:rFonts w:asciiTheme="minorHAnsi" w:hAnsiTheme="minorHAnsi" w:cstheme="minorHAnsi"/>
        </w:rPr>
        <w:t xml:space="preserve">% . In this case the University would be responsible to the return of unearned funds </w:t>
      </w:r>
      <w:r w:rsidR="00622B22">
        <w:rPr>
          <w:rFonts w:asciiTheme="minorHAnsi" w:hAnsiTheme="minorHAnsi" w:cstheme="minorHAnsi"/>
        </w:rPr>
        <w:t xml:space="preserve">equating to </w:t>
      </w:r>
      <w:r w:rsidR="00297E88">
        <w:rPr>
          <w:rFonts w:asciiTheme="minorHAnsi" w:hAnsiTheme="minorHAnsi" w:cstheme="minorHAnsi"/>
        </w:rPr>
        <w:t>6</w:t>
      </w:r>
      <w:r w:rsidR="008B5A48">
        <w:rPr>
          <w:rFonts w:asciiTheme="minorHAnsi" w:hAnsiTheme="minorHAnsi" w:cstheme="minorHAnsi"/>
        </w:rPr>
        <w:t>2</w:t>
      </w:r>
      <w:r w:rsidR="00297E88">
        <w:rPr>
          <w:rFonts w:asciiTheme="minorHAnsi" w:hAnsiTheme="minorHAnsi" w:cstheme="minorHAnsi"/>
        </w:rPr>
        <w:t>%.</w:t>
      </w:r>
    </w:p>
    <w:p w14:paraId="13DA055B" w14:textId="77777777" w:rsidR="00297E88" w:rsidRDefault="00297E88" w:rsidP="00063F8A">
      <w:pPr>
        <w:ind w:left="119"/>
        <w:rPr>
          <w:rFonts w:asciiTheme="minorHAnsi" w:hAnsiTheme="minorHAnsi" w:cstheme="minorHAnsi"/>
        </w:rPr>
      </w:pPr>
    </w:p>
    <w:p w14:paraId="13DA055C" w14:textId="33A11F62" w:rsidR="00297E88" w:rsidRDefault="00622B22" w:rsidP="00063F8A">
      <w:pPr>
        <w:ind w:left="119"/>
        <w:rPr>
          <w:rFonts w:asciiTheme="minorHAnsi" w:hAnsiTheme="minorHAnsi" w:cstheme="minorHAnsi"/>
        </w:rPr>
      </w:pPr>
      <w:r>
        <w:rPr>
          <w:rFonts w:asciiTheme="minorHAnsi" w:hAnsiTheme="minorHAnsi" w:cstheme="minorHAnsi"/>
        </w:rPr>
        <w:t xml:space="preserve">The </w:t>
      </w:r>
      <w:r w:rsidR="008F5A68">
        <w:rPr>
          <w:rFonts w:asciiTheme="minorHAnsi" w:hAnsiTheme="minorHAnsi" w:cstheme="minorHAnsi"/>
        </w:rPr>
        <w:t xml:space="preserve">30 week </w:t>
      </w:r>
      <w:r>
        <w:rPr>
          <w:rFonts w:asciiTheme="minorHAnsi" w:hAnsiTheme="minorHAnsi" w:cstheme="minorHAnsi"/>
        </w:rPr>
        <w:t xml:space="preserve">example in </w:t>
      </w:r>
      <w:r w:rsidRPr="00BF023A">
        <w:rPr>
          <w:rFonts w:asciiTheme="minorHAnsi" w:hAnsiTheme="minorHAnsi" w:cstheme="minorHAnsi"/>
          <w:b/>
        </w:rPr>
        <w:t>loan period 2</w:t>
      </w:r>
      <w:r>
        <w:rPr>
          <w:rFonts w:asciiTheme="minorHAnsi" w:hAnsiTheme="minorHAnsi" w:cstheme="minorHAnsi"/>
        </w:rPr>
        <w:t xml:space="preserve"> shows a student that withdraws on the 9</w:t>
      </w:r>
      <w:r w:rsidRPr="00622B22">
        <w:rPr>
          <w:rFonts w:asciiTheme="minorHAnsi" w:hAnsiTheme="minorHAnsi" w:cstheme="minorHAnsi"/>
          <w:vertAlign w:val="superscript"/>
        </w:rPr>
        <w:t>th</w:t>
      </w:r>
      <w:r>
        <w:rPr>
          <w:rFonts w:asciiTheme="minorHAnsi" w:hAnsiTheme="minorHAnsi" w:cstheme="minorHAnsi"/>
        </w:rPr>
        <w:t xml:space="preserve"> April 20</w:t>
      </w:r>
      <w:r w:rsidR="00915084">
        <w:rPr>
          <w:rFonts w:asciiTheme="minorHAnsi" w:hAnsiTheme="minorHAnsi" w:cstheme="minorHAnsi"/>
        </w:rPr>
        <w:t>24</w:t>
      </w:r>
      <w:r>
        <w:rPr>
          <w:rFonts w:asciiTheme="minorHAnsi" w:hAnsiTheme="minorHAnsi" w:cstheme="minorHAnsi"/>
        </w:rPr>
        <w:t xml:space="preserve"> has earned more than 60% equating to 6</w:t>
      </w:r>
      <w:r w:rsidR="00AE6058">
        <w:rPr>
          <w:rFonts w:asciiTheme="minorHAnsi" w:hAnsiTheme="minorHAnsi" w:cstheme="minorHAnsi"/>
        </w:rPr>
        <w:t>4</w:t>
      </w:r>
      <w:r>
        <w:rPr>
          <w:rFonts w:asciiTheme="minorHAnsi" w:hAnsiTheme="minorHAnsi" w:cstheme="minorHAnsi"/>
        </w:rPr>
        <w:t xml:space="preserve">%. </w:t>
      </w:r>
      <w:r w:rsidR="00BF023A">
        <w:rPr>
          <w:rFonts w:asciiTheme="minorHAnsi" w:hAnsiTheme="minorHAnsi" w:cstheme="minorHAnsi"/>
        </w:rPr>
        <w:t>In this case the student has earned 100% of the funds in this payment period and no funds need to be returned immediately.</w:t>
      </w:r>
    </w:p>
    <w:p w14:paraId="13DA055D" w14:textId="77777777" w:rsidR="008F5A68" w:rsidRDefault="008F5A68" w:rsidP="00063F8A">
      <w:pPr>
        <w:ind w:left="119"/>
        <w:rPr>
          <w:rFonts w:asciiTheme="minorHAnsi" w:hAnsiTheme="minorHAnsi" w:cstheme="minorHAnsi"/>
        </w:rPr>
      </w:pPr>
    </w:p>
    <w:p w14:paraId="13DA055E" w14:textId="534464EB" w:rsidR="008F5A68" w:rsidRDefault="008F5A68" w:rsidP="008F5A68">
      <w:pPr>
        <w:ind w:left="119"/>
        <w:rPr>
          <w:rFonts w:asciiTheme="minorHAnsi" w:hAnsiTheme="minorHAnsi" w:cstheme="minorHAnsi"/>
        </w:rPr>
      </w:pPr>
      <w:r>
        <w:rPr>
          <w:rFonts w:asciiTheme="minorHAnsi" w:hAnsiTheme="minorHAnsi" w:cstheme="minorHAnsi"/>
        </w:rPr>
        <w:t xml:space="preserve">The 45 week example in </w:t>
      </w:r>
      <w:r w:rsidRPr="00BF023A">
        <w:rPr>
          <w:rFonts w:asciiTheme="minorHAnsi" w:hAnsiTheme="minorHAnsi" w:cstheme="minorHAnsi"/>
          <w:b/>
        </w:rPr>
        <w:t>loan period 1</w:t>
      </w:r>
      <w:r>
        <w:rPr>
          <w:rFonts w:asciiTheme="minorHAnsi" w:hAnsiTheme="minorHAnsi" w:cstheme="minorHAnsi"/>
        </w:rPr>
        <w:t xml:space="preserve"> shows a student</w:t>
      </w:r>
      <w:r w:rsidR="00A25B04">
        <w:rPr>
          <w:rFonts w:asciiTheme="minorHAnsi" w:hAnsiTheme="minorHAnsi" w:cstheme="minorHAnsi"/>
        </w:rPr>
        <w:t xml:space="preserve"> that withdraws on the 30</w:t>
      </w:r>
      <w:r w:rsidRPr="00917589">
        <w:rPr>
          <w:rFonts w:asciiTheme="minorHAnsi" w:hAnsiTheme="minorHAnsi" w:cstheme="minorHAnsi"/>
          <w:vertAlign w:val="superscript"/>
        </w:rPr>
        <w:t>th</w:t>
      </w:r>
      <w:r w:rsidR="00A25B04">
        <w:rPr>
          <w:rFonts w:asciiTheme="minorHAnsi" w:hAnsiTheme="minorHAnsi" w:cstheme="minorHAnsi"/>
        </w:rPr>
        <w:t xml:space="preserve"> November</w:t>
      </w:r>
      <w:r>
        <w:rPr>
          <w:rFonts w:asciiTheme="minorHAnsi" w:hAnsiTheme="minorHAnsi" w:cstheme="minorHAnsi"/>
        </w:rPr>
        <w:t xml:space="preserve"> 20</w:t>
      </w:r>
      <w:r w:rsidR="00EC7923">
        <w:rPr>
          <w:rFonts w:asciiTheme="minorHAnsi" w:hAnsiTheme="minorHAnsi" w:cstheme="minorHAnsi"/>
        </w:rPr>
        <w:t>23</w:t>
      </w:r>
      <w:r>
        <w:rPr>
          <w:rFonts w:asciiTheme="minorHAnsi" w:hAnsiTheme="minorHAnsi" w:cstheme="minorHAnsi"/>
        </w:rPr>
        <w:t xml:space="preserve"> has earned less than 60% (using the standard R2T4 formula</w:t>
      </w:r>
      <w:r w:rsidR="00167790">
        <w:rPr>
          <w:rFonts w:asciiTheme="minorHAnsi" w:hAnsiTheme="minorHAnsi" w:cstheme="minorHAnsi"/>
        </w:rPr>
        <w:t>) 68 / 1</w:t>
      </w:r>
      <w:r w:rsidR="00335914">
        <w:rPr>
          <w:rFonts w:asciiTheme="minorHAnsi" w:hAnsiTheme="minorHAnsi" w:cstheme="minorHAnsi"/>
        </w:rPr>
        <w:t>54</w:t>
      </w:r>
      <w:r w:rsidR="00167790">
        <w:rPr>
          <w:rFonts w:asciiTheme="minorHAnsi" w:hAnsiTheme="minorHAnsi" w:cstheme="minorHAnsi"/>
        </w:rPr>
        <w:t xml:space="preserve"> = 4</w:t>
      </w:r>
      <w:r w:rsidR="00FD766B">
        <w:rPr>
          <w:rFonts w:asciiTheme="minorHAnsi" w:hAnsiTheme="minorHAnsi" w:cstheme="minorHAnsi"/>
        </w:rPr>
        <w:t>4</w:t>
      </w:r>
      <w:r>
        <w:rPr>
          <w:rFonts w:asciiTheme="minorHAnsi" w:hAnsiTheme="minorHAnsi" w:cstheme="minorHAnsi"/>
        </w:rPr>
        <w:t xml:space="preserve">% . In this case the University would be responsible to the return of unearned funds equating to </w:t>
      </w:r>
      <w:r w:rsidR="003C16D2">
        <w:rPr>
          <w:rFonts w:asciiTheme="minorHAnsi" w:hAnsiTheme="minorHAnsi" w:cstheme="minorHAnsi"/>
        </w:rPr>
        <w:t>5</w:t>
      </w:r>
      <w:r w:rsidR="00B66479">
        <w:rPr>
          <w:rFonts w:asciiTheme="minorHAnsi" w:hAnsiTheme="minorHAnsi" w:cstheme="minorHAnsi"/>
        </w:rPr>
        <w:t>6</w:t>
      </w:r>
      <w:r>
        <w:rPr>
          <w:rFonts w:asciiTheme="minorHAnsi" w:hAnsiTheme="minorHAnsi" w:cstheme="minorHAnsi"/>
        </w:rPr>
        <w:t>%.</w:t>
      </w:r>
    </w:p>
    <w:p w14:paraId="13DA055F" w14:textId="77777777" w:rsidR="008F5A68" w:rsidRDefault="008F5A68" w:rsidP="00063F8A">
      <w:pPr>
        <w:ind w:left="119"/>
        <w:rPr>
          <w:rFonts w:asciiTheme="minorHAnsi" w:hAnsiTheme="minorHAnsi" w:cstheme="minorHAnsi"/>
        </w:rPr>
      </w:pPr>
    </w:p>
    <w:p w14:paraId="13DA0560" w14:textId="5F1A2A46" w:rsidR="008F5A68" w:rsidRDefault="008F5A68" w:rsidP="008F5A68">
      <w:pPr>
        <w:ind w:left="119"/>
        <w:rPr>
          <w:rFonts w:asciiTheme="minorHAnsi" w:hAnsiTheme="minorHAnsi" w:cstheme="minorHAnsi"/>
        </w:rPr>
      </w:pPr>
      <w:r>
        <w:rPr>
          <w:rFonts w:asciiTheme="minorHAnsi" w:hAnsiTheme="minorHAnsi" w:cstheme="minorHAnsi"/>
        </w:rPr>
        <w:t xml:space="preserve">The 45 week example in </w:t>
      </w:r>
      <w:r w:rsidRPr="00BF023A">
        <w:rPr>
          <w:rFonts w:asciiTheme="minorHAnsi" w:hAnsiTheme="minorHAnsi" w:cstheme="minorHAnsi"/>
          <w:b/>
        </w:rPr>
        <w:t>loan period 2</w:t>
      </w:r>
      <w:r>
        <w:rPr>
          <w:rFonts w:asciiTheme="minorHAnsi" w:hAnsiTheme="minorHAnsi" w:cstheme="minorHAnsi"/>
        </w:rPr>
        <w:t xml:space="preserve"> shows a student that withdraws on the </w:t>
      </w:r>
      <w:r w:rsidR="00A25B04">
        <w:rPr>
          <w:rFonts w:asciiTheme="minorHAnsi" w:hAnsiTheme="minorHAnsi" w:cstheme="minorHAnsi"/>
        </w:rPr>
        <w:t>26</w:t>
      </w:r>
      <w:r w:rsidRPr="00622B22">
        <w:rPr>
          <w:rFonts w:asciiTheme="minorHAnsi" w:hAnsiTheme="minorHAnsi" w:cstheme="minorHAnsi"/>
          <w:vertAlign w:val="superscript"/>
        </w:rPr>
        <w:t>th</w:t>
      </w:r>
      <w:r w:rsidR="00A25B04">
        <w:rPr>
          <w:rFonts w:asciiTheme="minorHAnsi" w:hAnsiTheme="minorHAnsi" w:cstheme="minorHAnsi"/>
        </w:rPr>
        <w:t xml:space="preserve"> July</w:t>
      </w:r>
      <w:r>
        <w:rPr>
          <w:rFonts w:asciiTheme="minorHAnsi" w:hAnsiTheme="minorHAnsi" w:cstheme="minorHAnsi"/>
        </w:rPr>
        <w:t xml:space="preserve"> 20</w:t>
      </w:r>
      <w:r w:rsidR="0036384C">
        <w:rPr>
          <w:rFonts w:asciiTheme="minorHAnsi" w:hAnsiTheme="minorHAnsi" w:cstheme="minorHAnsi"/>
        </w:rPr>
        <w:t>24</w:t>
      </w:r>
      <w:r>
        <w:rPr>
          <w:rFonts w:asciiTheme="minorHAnsi" w:hAnsiTheme="minorHAnsi" w:cstheme="minorHAnsi"/>
        </w:rPr>
        <w:t xml:space="preserve"> has earned more than 60% equating to </w:t>
      </w:r>
      <w:r w:rsidR="0036384C">
        <w:rPr>
          <w:rFonts w:asciiTheme="minorHAnsi" w:hAnsiTheme="minorHAnsi" w:cstheme="minorHAnsi"/>
        </w:rPr>
        <w:t>80</w:t>
      </w:r>
      <w:r>
        <w:rPr>
          <w:rFonts w:asciiTheme="minorHAnsi" w:hAnsiTheme="minorHAnsi" w:cstheme="minorHAnsi"/>
        </w:rPr>
        <w:t>%. In this case the student has earned 100% of the funds in this payment period and no funds need to be returned immediately.</w:t>
      </w:r>
    </w:p>
    <w:p w14:paraId="13DA0561" w14:textId="77777777" w:rsidR="008F5A68" w:rsidRDefault="008F5A68" w:rsidP="00063F8A">
      <w:pPr>
        <w:ind w:left="119"/>
        <w:rPr>
          <w:rFonts w:asciiTheme="minorHAnsi" w:hAnsiTheme="minorHAnsi" w:cstheme="minorHAnsi"/>
        </w:rPr>
      </w:pPr>
    </w:p>
    <w:p w14:paraId="13DA0562" w14:textId="77777777" w:rsidR="00C34438" w:rsidRDefault="00C34438" w:rsidP="00063F8A">
      <w:pPr>
        <w:ind w:left="119"/>
        <w:rPr>
          <w:rFonts w:asciiTheme="minorHAnsi" w:hAnsiTheme="minorHAnsi" w:cstheme="minorHAnsi"/>
        </w:rPr>
      </w:pPr>
      <w:r>
        <w:rPr>
          <w:rFonts w:asciiTheme="minorHAnsi" w:hAnsiTheme="minorHAnsi" w:cstheme="minorHAnsi"/>
        </w:rPr>
        <w:t>If you require further info</w:t>
      </w:r>
      <w:r w:rsidR="00546B31">
        <w:rPr>
          <w:rFonts w:asciiTheme="minorHAnsi" w:hAnsiTheme="minorHAnsi" w:cstheme="minorHAnsi"/>
        </w:rPr>
        <w:t xml:space="preserve">rmation please contact </w:t>
      </w:r>
      <w:hyperlink r:id="rId7" w:history="1">
        <w:r w:rsidR="00546B31" w:rsidRPr="00546B31">
          <w:rPr>
            <w:rStyle w:val="Hyperlink"/>
            <w:rFonts w:asciiTheme="minorHAnsi" w:hAnsiTheme="minorHAnsi" w:cstheme="minorHAnsi"/>
          </w:rPr>
          <w:t>registryservices@ljmu.ac.uk</w:t>
        </w:r>
      </w:hyperlink>
      <w:r>
        <w:rPr>
          <w:rFonts w:asciiTheme="minorHAnsi" w:hAnsiTheme="minorHAnsi" w:cstheme="minorHAnsi"/>
        </w:rPr>
        <w:t xml:space="preserve"> or call 0151 231 3289.</w:t>
      </w:r>
    </w:p>
    <w:p w14:paraId="13DA0563" w14:textId="77777777" w:rsidR="00BF023A" w:rsidRDefault="00BF023A" w:rsidP="00063F8A">
      <w:pPr>
        <w:ind w:left="119"/>
        <w:rPr>
          <w:rFonts w:asciiTheme="minorHAnsi" w:hAnsiTheme="minorHAnsi" w:cstheme="minorHAnsi"/>
        </w:rPr>
      </w:pPr>
    </w:p>
    <w:p w14:paraId="13DA0564" w14:textId="77777777" w:rsidR="00BF023A" w:rsidRPr="00063F8A" w:rsidRDefault="00BF023A" w:rsidP="00063F8A">
      <w:pPr>
        <w:ind w:left="119"/>
        <w:rPr>
          <w:rFonts w:asciiTheme="minorHAnsi" w:hAnsiTheme="minorHAnsi" w:cstheme="minorHAnsi"/>
        </w:rPr>
      </w:pPr>
    </w:p>
    <w:sectPr w:rsidR="00BF023A" w:rsidRPr="00063F8A" w:rsidSect="006F0194">
      <w:pgSz w:w="11910" w:h="16840"/>
      <w:pgMar w:top="15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3B0"/>
    <w:multiLevelType w:val="hybridMultilevel"/>
    <w:tmpl w:val="33A47CF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3DC85964"/>
    <w:multiLevelType w:val="hybridMultilevel"/>
    <w:tmpl w:val="278A3DCC"/>
    <w:lvl w:ilvl="0" w:tplc="3E34A96A">
      <w:start w:val="1"/>
      <w:numFmt w:val="decimal"/>
      <w:lvlText w:val="%1."/>
      <w:lvlJc w:val="left"/>
      <w:pPr>
        <w:ind w:left="840" w:hanging="361"/>
      </w:pPr>
      <w:rPr>
        <w:rFonts w:ascii="Calibri" w:eastAsia="Calibri" w:hAnsi="Calibri" w:cs="Calibri" w:hint="default"/>
        <w:w w:val="100"/>
        <w:sz w:val="22"/>
        <w:szCs w:val="22"/>
        <w:lang w:val="en-GB" w:eastAsia="en-GB" w:bidi="en-GB"/>
      </w:rPr>
    </w:lvl>
    <w:lvl w:ilvl="1" w:tplc="DFC62B8C">
      <w:numFmt w:val="bullet"/>
      <w:lvlText w:val="•"/>
      <w:lvlJc w:val="left"/>
      <w:pPr>
        <w:ind w:left="1682" w:hanging="361"/>
      </w:pPr>
      <w:rPr>
        <w:rFonts w:hint="default"/>
        <w:lang w:val="en-GB" w:eastAsia="en-GB" w:bidi="en-GB"/>
      </w:rPr>
    </w:lvl>
    <w:lvl w:ilvl="2" w:tplc="0B10BD6C">
      <w:numFmt w:val="bullet"/>
      <w:lvlText w:val="•"/>
      <w:lvlJc w:val="left"/>
      <w:pPr>
        <w:ind w:left="2525" w:hanging="361"/>
      </w:pPr>
      <w:rPr>
        <w:rFonts w:hint="default"/>
        <w:lang w:val="en-GB" w:eastAsia="en-GB" w:bidi="en-GB"/>
      </w:rPr>
    </w:lvl>
    <w:lvl w:ilvl="3" w:tplc="6902F2C2">
      <w:numFmt w:val="bullet"/>
      <w:lvlText w:val="•"/>
      <w:lvlJc w:val="left"/>
      <w:pPr>
        <w:ind w:left="3367" w:hanging="361"/>
      </w:pPr>
      <w:rPr>
        <w:rFonts w:hint="default"/>
        <w:lang w:val="en-GB" w:eastAsia="en-GB" w:bidi="en-GB"/>
      </w:rPr>
    </w:lvl>
    <w:lvl w:ilvl="4" w:tplc="946ED724">
      <w:numFmt w:val="bullet"/>
      <w:lvlText w:val="•"/>
      <w:lvlJc w:val="left"/>
      <w:pPr>
        <w:ind w:left="4210" w:hanging="361"/>
      </w:pPr>
      <w:rPr>
        <w:rFonts w:hint="default"/>
        <w:lang w:val="en-GB" w:eastAsia="en-GB" w:bidi="en-GB"/>
      </w:rPr>
    </w:lvl>
    <w:lvl w:ilvl="5" w:tplc="1CD2075A">
      <w:numFmt w:val="bullet"/>
      <w:lvlText w:val="•"/>
      <w:lvlJc w:val="left"/>
      <w:pPr>
        <w:ind w:left="5053" w:hanging="361"/>
      </w:pPr>
      <w:rPr>
        <w:rFonts w:hint="default"/>
        <w:lang w:val="en-GB" w:eastAsia="en-GB" w:bidi="en-GB"/>
      </w:rPr>
    </w:lvl>
    <w:lvl w:ilvl="6" w:tplc="6BDE7E10">
      <w:numFmt w:val="bullet"/>
      <w:lvlText w:val="•"/>
      <w:lvlJc w:val="left"/>
      <w:pPr>
        <w:ind w:left="5895" w:hanging="361"/>
      </w:pPr>
      <w:rPr>
        <w:rFonts w:hint="default"/>
        <w:lang w:val="en-GB" w:eastAsia="en-GB" w:bidi="en-GB"/>
      </w:rPr>
    </w:lvl>
    <w:lvl w:ilvl="7" w:tplc="C00281BA">
      <w:numFmt w:val="bullet"/>
      <w:lvlText w:val="•"/>
      <w:lvlJc w:val="left"/>
      <w:pPr>
        <w:ind w:left="6738" w:hanging="361"/>
      </w:pPr>
      <w:rPr>
        <w:rFonts w:hint="default"/>
        <w:lang w:val="en-GB" w:eastAsia="en-GB" w:bidi="en-GB"/>
      </w:rPr>
    </w:lvl>
    <w:lvl w:ilvl="8" w:tplc="273EF3E0">
      <w:numFmt w:val="bullet"/>
      <w:lvlText w:val="•"/>
      <w:lvlJc w:val="left"/>
      <w:pPr>
        <w:ind w:left="7581" w:hanging="361"/>
      </w:pPr>
      <w:rPr>
        <w:rFonts w:hint="default"/>
        <w:lang w:val="en-GB" w:eastAsia="en-GB" w:bidi="en-GB"/>
      </w:rPr>
    </w:lvl>
  </w:abstractNum>
  <w:abstractNum w:abstractNumId="2" w15:restartNumberingAfterBreak="0">
    <w:nsid w:val="5725682C"/>
    <w:multiLevelType w:val="hybridMultilevel"/>
    <w:tmpl w:val="8152CC36"/>
    <w:lvl w:ilvl="0" w:tplc="869EBCC6">
      <w:start w:val="45"/>
      <w:numFmt w:val="bullet"/>
      <w:lvlText w:val=""/>
      <w:lvlJc w:val="left"/>
      <w:pPr>
        <w:ind w:left="479" w:hanging="360"/>
      </w:pPr>
      <w:rPr>
        <w:rFonts w:ascii="Symbol" w:eastAsia="Calibri" w:hAnsi="Symbol" w:cstheme="minorHAnsi"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3" w15:restartNumberingAfterBreak="0">
    <w:nsid w:val="78702AE7"/>
    <w:multiLevelType w:val="hybridMultilevel"/>
    <w:tmpl w:val="B9905DEC"/>
    <w:lvl w:ilvl="0" w:tplc="3EE65E08">
      <w:start w:val="1"/>
      <w:numFmt w:val="decimal"/>
      <w:lvlText w:val="%1)"/>
      <w:lvlJc w:val="left"/>
      <w:pPr>
        <w:ind w:left="480" w:hanging="360"/>
      </w:pPr>
      <w:rPr>
        <w:rFonts w:hint="default"/>
        <w:b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1632635822">
    <w:abstractNumId w:val="1"/>
  </w:num>
  <w:num w:numId="2" w16cid:durableId="161045516">
    <w:abstractNumId w:val="0"/>
  </w:num>
  <w:num w:numId="3" w16cid:durableId="290325173">
    <w:abstractNumId w:val="3"/>
  </w:num>
  <w:num w:numId="4" w16cid:durableId="252783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A75"/>
    <w:rsid w:val="000007F8"/>
    <w:rsid w:val="00001063"/>
    <w:rsid w:val="0001746F"/>
    <w:rsid w:val="000206CB"/>
    <w:rsid w:val="00063A4D"/>
    <w:rsid w:val="00063F8A"/>
    <w:rsid w:val="00094055"/>
    <w:rsid w:val="000D5315"/>
    <w:rsid w:val="000E7B91"/>
    <w:rsid w:val="00163E4A"/>
    <w:rsid w:val="00167790"/>
    <w:rsid w:val="0017036F"/>
    <w:rsid w:val="001E6CA3"/>
    <w:rsid w:val="00216F58"/>
    <w:rsid w:val="00231FC0"/>
    <w:rsid w:val="00243638"/>
    <w:rsid w:val="00255971"/>
    <w:rsid w:val="00270559"/>
    <w:rsid w:val="00276C43"/>
    <w:rsid w:val="00297E88"/>
    <w:rsid w:val="002A0BCE"/>
    <w:rsid w:val="002A233F"/>
    <w:rsid w:val="002A5844"/>
    <w:rsid w:val="002E0E1E"/>
    <w:rsid w:val="00335914"/>
    <w:rsid w:val="0035641E"/>
    <w:rsid w:val="003619FC"/>
    <w:rsid w:val="0036384C"/>
    <w:rsid w:val="00364A7A"/>
    <w:rsid w:val="003A7D4E"/>
    <w:rsid w:val="003C16D2"/>
    <w:rsid w:val="003E37F9"/>
    <w:rsid w:val="0048321F"/>
    <w:rsid w:val="00495105"/>
    <w:rsid w:val="004A75C4"/>
    <w:rsid w:val="004C3FCA"/>
    <w:rsid w:val="00507F6B"/>
    <w:rsid w:val="005202F8"/>
    <w:rsid w:val="00546B31"/>
    <w:rsid w:val="005735B6"/>
    <w:rsid w:val="005A17AE"/>
    <w:rsid w:val="005E3836"/>
    <w:rsid w:val="005E5A75"/>
    <w:rsid w:val="006033AF"/>
    <w:rsid w:val="00622B22"/>
    <w:rsid w:val="006564A0"/>
    <w:rsid w:val="00694BC1"/>
    <w:rsid w:val="006A06B1"/>
    <w:rsid w:val="006B5E0B"/>
    <w:rsid w:val="006E304B"/>
    <w:rsid w:val="00717D4F"/>
    <w:rsid w:val="00723673"/>
    <w:rsid w:val="007C5122"/>
    <w:rsid w:val="00813ED5"/>
    <w:rsid w:val="008637CA"/>
    <w:rsid w:val="0086486F"/>
    <w:rsid w:val="008655B3"/>
    <w:rsid w:val="008A6408"/>
    <w:rsid w:val="008B5A48"/>
    <w:rsid w:val="008F5A68"/>
    <w:rsid w:val="00915084"/>
    <w:rsid w:val="00917589"/>
    <w:rsid w:val="00A25B04"/>
    <w:rsid w:val="00A31116"/>
    <w:rsid w:val="00A70398"/>
    <w:rsid w:val="00AB0E3D"/>
    <w:rsid w:val="00AB0EB5"/>
    <w:rsid w:val="00AB19C0"/>
    <w:rsid w:val="00AB35AE"/>
    <w:rsid w:val="00AE6058"/>
    <w:rsid w:val="00B14639"/>
    <w:rsid w:val="00B26B8D"/>
    <w:rsid w:val="00B66479"/>
    <w:rsid w:val="00B7170C"/>
    <w:rsid w:val="00BF023A"/>
    <w:rsid w:val="00BF49AF"/>
    <w:rsid w:val="00C17CCB"/>
    <w:rsid w:val="00C34438"/>
    <w:rsid w:val="00C618EC"/>
    <w:rsid w:val="00CB7968"/>
    <w:rsid w:val="00CF4297"/>
    <w:rsid w:val="00D146C1"/>
    <w:rsid w:val="00D22F52"/>
    <w:rsid w:val="00D36906"/>
    <w:rsid w:val="00D713E7"/>
    <w:rsid w:val="00D925AE"/>
    <w:rsid w:val="00DF2595"/>
    <w:rsid w:val="00E279C8"/>
    <w:rsid w:val="00E30CCB"/>
    <w:rsid w:val="00E35A15"/>
    <w:rsid w:val="00EC7923"/>
    <w:rsid w:val="00F0148F"/>
    <w:rsid w:val="00F44E9B"/>
    <w:rsid w:val="00F70669"/>
    <w:rsid w:val="00FD766B"/>
    <w:rsid w:val="00FE652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04DF"/>
  <w15:chartTrackingRefBased/>
  <w15:docId w15:val="{5D30F776-E8DF-46D0-9DDE-E292D78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75"/>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5E5A75"/>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A75"/>
    <w:rPr>
      <w:rFonts w:ascii="Calibri" w:eastAsia="Calibri" w:hAnsi="Calibri" w:cs="Calibri"/>
      <w:b/>
      <w:bCs/>
      <w:lang w:eastAsia="en-GB" w:bidi="en-GB"/>
    </w:rPr>
  </w:style>
  <w:style w:type="paragraph" w:styleId="BodyText">
    <w:name w:val="Body Text"/>
    <w:basedOn w:val="Normal"/>
    <w:link w:val="BodyTextChar"/>
    <w:uiPriority w:val="1"/>
    <w:qFormat/>
    <w:rsid w:val="005E5A75"/>
  </w:style>
  <w:style w:type="character" w:customStyle="1" w:styleId="BodyTextChar">
    <w:name w:val="Body Text Char"/>
    <w:basedOn w:val="DefaultParagraphFont"/>
    <w:link w:val="BodyText"/>
    <w:uiPriority w:val="1"/>
    <w:rsid w:val="005E5A75"/>
    <w:rPr>
      <w:rFonts w:ascii="Calibri" w:eastAsia="Calibri" w:hAnsi="Calibri" w:cs="Calibri"/>
      <w:lang w:eastAsia="en-GB" w:bidi="en-GB"/>
    </w:rPr>
  </w:style>
  <w:style w:type="paragraph" w:styleId="ListParagraph">
    <w:name w:val="List Paragraph"/>
    <w:basedOn w:val="Normal"/>
    <w:uiPriority w:val="1"/>
    <w:qFormat/>
    <w:rsid w:val="005E5A75"/>
    <w:pPr>
      <w:spacing w:before="1"/>
      <w:ind w:left="840" w:hanging="360"/>
    </w:pPr>
  </w:style>
  <w:style w:type="paragraph" w:styleId="NormalWeb">
    <w:name w:val="Normal (Web)"/>
    <w:basedOn w:val="Normal"/>
    <w:uiPriority w:val="99"/>
    <w:unhideWhenUsed/>
    <w:rsid w:val="005E5A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0D5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8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44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gistryservices@ljm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ACD6-5936-47E1-92FF-BB0D145D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Laing, Gerry</dc:creator>
  <cp:keywords/>
  <dc:description/>
  <cp:lastModifiedBy>Laing, Gerry</cp:lastModifiedBy>
  <cp:revision>26</cp:revision>
  <cp:lastPrinted>2019-04-23T14:31:00Z</cp:lastPrinted>
  <dcterms:created xsi:type="dcterms:W3CDTF">2019-05-16T14:18:00Z</dcterms:created>
  <dcterms:modified xsi:type="dcterms:W3CDTF">2024-02-16T14:56:00Z</dcterms:modified>
</cp:coreProperties>
</file>